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44"/>
          <w:szCs w:val="44"/>
        </w:rPr>
      </w:pPr>
      <w:r>
        <w:rPr>
          <w:rFonts w:ascii="方正小标宋_GBK" w:eastAsia="方正小标宋_GBK"/>
          <w:sz w:val="44"/>
          <w:szCs w:val="44"/>
        </w:rPr>
        <w:t>202</w:t>
      </w:r>
      <w:r>
        <w:rPr>
          <w:rFonts w:hint="eastAsia" w:ascii="方正小标宋_GBK" w:eastAsia="方正小标宋_GBK"/>
          <w:sz w:val="44"/>
          <w:szCs w:val="44"/>
          <w:lang w:val="en-US" w:eastAsia="zh-CN"/>
        </w:rPr>
        <w:t>3</w:t>
      </w:r>
      <w:r>
        <w:rPr>
          <w:rFonts w:hint="eastAsia" w:ascii="方正小标宋_GBK" w:eastAsia="方正小标宋_GBK"/>
          <w:sz w:val="44"/>
          <w:szCs w:val="44"/>
        </w:rPr>
        <w:t>年航班正常考核指标和调控措施</w:t>
      </w:r>
    </w:p>
    <w:p>
      <w:pPr>
        <w:ind w:firstLine="960" w:firstLineChars="300"/>
        <w:rPr>
          <w:rFonts w:ascii="仿宋_GB2312" w:eastAsia="仿宋_GB2312"/>
          <w:sz w:val="32"/>
          <w:szCs w:val="32"/>
        </w:rPr>
      </w:pPr>
    </w:p>
    <w:p>
      <w:pPr>
        <w:ind w:firstLine="640" w:firstLineChars="200"/>
        <w:rPr>
          <w:rFonts w:ascii="仿宋_GB2312" w:hAnsi="黑体" w:eastAsia="仿宋_GB2312"/>
          <w:sz w:val="32"/>
          <w:szCs w:val="32"/>
        </w:rPr>
      </w:pPr>
      <w:r>
        <w:rPr>
          <w:rFonts w:hint="eastAsia" w:ascii="仿宋_GB2312" w:hAnsi="黑体" w:eastAsia="仿宋_GB2312"/>
          <w:sz w:val="32"/>
          <w:szCs w:val="32"/>
        </w:rPr>
        <w:t>为健全航班正常考核机制，努力提升航班正常水平，促进行业高质量发展，现提出航班正常考核指标和调控措施。</w:t>
      </w:r>
    </w:p>
    <w:p>
      <w:pPr>
        <w:ind w:firstLine="640" w:firstLineChars="200"/>
        <w:rPr>
          <w:rFonts w:ascii="黑体" w:hAnsi="黑体" w:eastAsia="黑体"/>
          <w:sz w:val="32"/>
          <w:szCs w:val="32"/>
        </w:rPr>
      </w:pPr>
      <w:r>
        <w:rPr>
          <w:rFonts w:hint="eastAsia" w:ascii="黑体" w:hAnsi="黑体" w:eastAsia="黑体"/>
          <w:sz w:val="32"/>
          <w:szCs w:val="32"/>
        </w:rPr>
        <w:t>一、考核范围</w:t>
      </w:r>
    </w:p>
    <w:p>
      <w:pPr>
        <w:ind w:firstLine="640" w:firstLineChars="200"/>
        <w:rPr>
          <w:rFonts w:ascii="仿宋_GB2312" w:hAnsi="华文中宋" w:eastAsia="仿宋_GB2312" w:cs="仿宋_GB2312"/>
          <w:sz w:val="32"/>
          <w:szCs w:val="32"/>
        </w:rPr>
      </w:pPr>
      <w:r>
        <w:rPr>
          <w:rFonts w:ascii="仿宋_GB2312" w:hAnsi="华文中宋" w:eastAsia="仿宋_GB2312" w:cs="仿宋_GB2312"/>
          <w:sz w:val="32"/>
          <w:szCs w:val="32"/>
        </w:rPr>
        <w:t>1.</w:t>
      </w:r>
      <w:r>
        <w:rPr>
          <w:rFonts w:hint="eastAsia" w:ascii="仿宋_GB2312" w:hAnsi="华文中宋" w:eastAsia="仿宋_GB2312" w:cs="仿宋_GB2312"/>
          <w:sz w:val="32"/>
          <w:szCs w:val="32"/>
        </w:rPr>
        <w:t>航班正常的考核范围仅限于国内航班。</w:t>
      </w:r>
    </w:p>
    <w:p>
      <w:pPr>
        <w:ind w:firstLine="640" w:firstLineChars="200"/>
        <w:rPr>
          <w:rFonts w:ascii="仿宋_GB2312" w:hAnsi="黑体" w:eastAsia="仿宋_GB2312"/>
          <w:sz w:val="32"/>
          <w:szCs w:val="32"/>
        </w:rPr>
      </w:pPr>
      <w:r>
        <w:rPr>
          <w:rFonts w:ascii="仿宋_GB2312" w:hAnsi="华文中宋" w:eastAsia="仿宋_GB2312" w:cs="仿宋_GB2312"/>
          <w:sz w:val="32"/>
          <w:szCs w:val="32"/>
        </w:rPr>
        <w:t>2.</w:t>
      </w:r>
      <w:r>
        <w:rPr>
          <w:rFonts w:hint="eastAsia" w:ascii="仿宋_GB2312" w:hAnsi="华文中宋" w:eastAsia="仿宋_GB2312" w:cs="仿宋_GB2312"/>
          <w:sz w:val="32"/>
          <w:szCs w:val="32"/>
        </w:rPr>
        <w:t>国际和</w:t>
      </w:r>
      <w:r>
        <w:rPr>
          <w:rFonts w:hint="eastAsia" w:ascii="仿宋_GB2312" w:hAnsi="黑体" w:eastAsia="仿宋_GB2312"/>
          <w:sz w:val="32"/>
          <w:szCs w:val="32"/>
        </w:rPr>
        <w:t>港澳台航班暂不考核，恢复时间及考核标准根据实际情况另行通知。</w:t>
      </w:r>
    </w:p>
    <w:p>
      <w:pPr>
        <w:ind w:firstLine="640" w:firstLineChars="200"/>
        <w:rPr>
          <w:rFonts w:ascii="仿宋_GB2312" w:hAnsi="华文中宋" w:eastAsia="仿宋_GB2312" w:cs="仿宋_GB2312"/>
          <w:sz w:val="32"/>
          <w:szCs w:val="32"/>
        </w:rPr>
      </w:pPr>
      <w:r>
        <w:rPr>
          <w:rFonts w:ascii="仿宋_GB2312" w:hAnsi="黑体" w:eastAsia="仿宋_GB2312"/>
          <w:sz w:val="32"/>
          <w:szCs w:val="32"/>
        </w:rPr>
        <w:t>3.</w:t>
      </w:r>
      <w:r>
        <w:rPr>
          <w:rFonts w:hint="eastAsia" w:ascii="仿宋_GB2312" w:hAnsi="黑体" w:eastAsia="仿宋_GB2312" w:cs="黑体"/>
          <w:sz w:val="32"/>
          <w:szCs w:val="32"/>
        </w:rPr>
        <w:t>旅客吞吐量</w:t>
      </w:r>
      <w:r>
        <w:rPr>
          <w:rFonts w:ascii="仿宋_GB2312" w:hAnsi="黑体" w:eastAsia="仿宋_GB2312" w:cs="黑体"/>
          <w:sz w:val="32"/>
          <w:szCs w:val="32"/>
        </w:rPr>
        <w:t>2000</w:t>
      </w:r>
      <w:r>
        <w:rPr>
          <w:rFonts w:hint="eastAsia" w:ascii="仿宋_GB2312" w:hAnsi="黑体" w:eastAsia="仿宋_GB2312" w:cs="黑体"/>
          <w:sz w:val="32"/>
          <w:szCs w:val="32"/>
        </w:rPr>
        <w:t>万人次（含）以上的机场以</w:t>
      </w:r>
      <w:r>
        <w:rPr>
          <w:rFonts w:ascii="仿宋_GB2312" w:hAnsi="黑体" w:eastAsia="仿宋_GB2312" w:cs="黑体"/>
          <w:sz w:val="32"/>
          <w:szCs w:val="32"/>
        </w:rPr>
        <w:t>2019</w:t>
      </w:r>
      <w:r>
        <w:rPr>
          <w:rFonts w:hint="eastAsia" w:ascii="仿宋_GB2312" w:hAnsi="黑体" w:eastAsia="仿宋_GB2312" w:cs="黑体"/>
          <w:sz w:val="32"/>
          <w:szCs w:val="32"/>
        </w:rPr>
        <w:t>年数据为基准</w:t>
      </w:r>
      <w:r>
        <w:rPr>
          <w:rFonts w:hint="eastAsia" w:ascii="仿宋_GB2312" w:hAnsi="黑体" w:eastAsia="仿宋_GB2312" w:cs="黑体"/>
          <w:sz w:val="32"/>
          <w:szCs w:val="32"/>
          <w:lang w:eastAsia="zh-CN"/>
        </w:rPr>
        <w:t>，</w:t>
      </w:r>
      <w:r>
        <w:rPr>
          <w:rFonts w:hint="eastAsia" w:ascii="仿宋_GB2312" w:hAnsi="黑体" w:eastAsia="仿宋_GB2312" w:cs="黑体"/>
          <w:sz w:val="32"/>
          <w:szCs w:val="32"/>
        </w:rPr>
        <w:t>同时</w:t>
      </w:r>
      <w:r>
        <w:rPr>
          <w:rFonts w:hint="eastAsia" w:ascii="仿宋_GB2312" w:hAnsi="黑体" w:eastAsia="仿宋_GB2312" w:cs="黑体"/>
          <w:sz w:val="32"/>
          <w:szCs w:val="32"/>
          <w:lang w:eastAsia="zh-CN"/>
        </w:rPr>
        <w:t>包含</w:t>
      </w:r>
      <w:r>
        <w:rPr>
          <w:rFonts w:hint="eastAsia" w:ascii="仿宋_GB2312" w:hAnsi="黑体" w:eastAsia="仿宋_GB2312" w:cs="黑体"/>
          <w:sz w:val="32"/>
          <w:szCs w:val="32"/>
        </w:rPr>
        <w:t>大兴机场。</w:t>
      </w:r>
    </w:p>
    <w:p>
      <w:pPr>
        <w:ind w:firstLine="640" w:firstLineChars="200"/>
        <w:rPr>
          <w:rFonts w:ascii="黑体" w:hAnsi="黑体" w:eastAsia="黑体"/>
          <w:sz w:val="32"/>
          <w:szCs w:val="32"/>
        </w:rPr>
      </w:pPr>
      <w:r>
        <w:rPr>
          <w:rFonts w:hint="eastAsia" w:ascii="黑体" w:hAnsi="黑体" w:eastAsia="黑体"/>
          <w:sz w:val="32"/>
          <w:szCs w:val="32"/>
        </w:rPr>
        <w:t>二、考核标准</w:t>
      </w:r>
    </w:p>
    <w:p>
      <w:pPr>
        <w:ind w:firstLine="640" w:firstLineChars="200"/>
        <w:rPr>
          <w:rFonts w:ascii="楷体_GB2312" w:hAnsi="黑体" w:eastAsia="楷体_GB2312"/>
          <w:sz w:val="32"/>
          <w:szCs w:val="32"/>
        </w:rPr>
      </w:pPr>
      <w:r>
        <w:rPr>
          <w:rFonts w:hint="eastAsia" w:ascii="楷体_GB2312" w:hAnsi="黑体" w:eastAsia="楷体_GB2312"/>
          <w:sz w:val="32"/>
          <w:szCs w:val="32"/>
        </w:rPr>
        <w:t>（一）航空公司考核指标和调控措施</w:t>
      </w:r>
    </w:p>
    <w:p>
      <w:pPr>
        <w:ind w:firstLine="640" w:firstLineChars="200"/>
        <w:rPr>
          <w:rFonts w:ascii="仿宋_GB2312" w:hAnsi="黑体" w:eastAsia="仿宋_GB2312" w:cs="黑体"/>
          <w:kern w:val="0"/>
          <w:sz w:val="32"/>
          <w:szCs w:val="32"/>
        </w:rPr>
      </w:pPr>
      <w:r>
        <w:rPr>
          <w:rFonts w:ascii="仿宋_GB2312" w:hAnsi="黑体" w:eastAsia="仿宋_GB2312" w:cs="黑体"/>
          <w:sz w:val="32"/>
          <w:szCs w:val="32"/>
        </w:rPr>
        <w:t>1.</w:t>
      </w:r>
      <w:r>
        <w:rPr>
          <w:rFonts w:hint="eastAsia" w:ascii="仿宋_GB2312" w:hAnsi="黑体" w:eastAsia="仿宋_GB2312" w:cs="黑体"/>
          <w:sz w:val="32"/>
          <w:szCs w:val="32"/>
        </w:rPr>
        <w:t>旅客吞吐量</w:t>
      </w:r>
      <w:r>
        <w:rPr>
          <w:rFonts w:ascii="仿宋_GB2312" w:hAnsi="黑体" w:eastAsia="仿宋_GB2312" w:cs="黑体"/>
          <w:sz w:val="32"/>
          <w:szCs w:val="32"/>
        </w:rPr>
        <w:t>2000</w:t>
      </w:r>
      <w:r>
        <w:rPr>
          <w:rFonts w:hint="eastAsia" w:ascii="仿宋_GB2312" w:hAnsi="黑体" w:eastAsia="仿宋_GB2312" w:cs="黑体"/>
          <w:sz w:val="32"/>
          <w:szCs w:val="32"/>
        </w:rPr>
        <w:t>万人次（含）以上的机场当月国内客运</w:t>
      </w:r>
      <w:r>
        <w:rPr>
          <w:rFonts w:hint="eastAsia" w:ascii="仿宋_GB2312" w:hAnsi="黑体" w:eastAsia="仿宋_GB2312" w:cs="黑体"/>
          <w:kern w:val="0"/>
          <w:sz w:val="32"/>
          <w:szCs w:val="32"/>
        </w:rPr>
        <w:t>离港航班正常率低于</w:t>
      </w:r>
      <w:r>
        <w:rPr>
          <w:rFonts w:ascii="仿宋_GB2312" w:hAnsi="黑体" w:eastAsia="仿宋_GB2312" w:cs="黑体"/>
          <w:kern w:val="0"/>
          <w:sz w:val="32"/>
          <w:szCs w:val="32"/>
        </w:rPr>
        <w:t>50%</w:t>
      </w:r>
      <w:r>
        <w:rPr>
          <w:rFonts w:hint="eastAsia" w:ascii="仿宋_GB2312" w:hAnsi="黑体" w:eastAsia="仿宋_GB2312" w:cs="黑体"/>
          <w:kern w:val="0"/>
          <w:sz w:val="32"/>
          <w:szCs w:val="32"/>
        </w:rPr>
        <w:t>（不含）、排名后</w:t>
      </w:r>
      <w:r>
        <w:rPr>
          <w:rFonts w:ascii="仿宋_GB2312" w:hAnsi="黑体" w:eastAsia="仿宋_GB2312" w:cs="黑体"/>
          <w:kern w:val="0"/>
          <w:sz w:val="32"/>
          <w:szCs w:val="32"/>
        </w:rPr>
        <w:t>3</w:t>
      </w:r>
      <w:r>
        <w:rPr>
          <w:rFonts w:hint="eastAsia" w:ascii="仿宋_GB2312" w:hAnsi="黑体" w:eastAsia="仿宋_GB2312" w:cs="黑体"/>
          <w:kern w:val="0"/>
          <w:sz w:val="32"/>
          <w:szCs w:val="32"/>
        </w:rPr>
        <w:t>位，并且航空公司自身原因占比最高（含并列）的航班，自通报后（不含当月）第二个月起取消该航班时刻。每月计划航班数</w:t>
      </w:r>
      <w:r>
        <w:rPr>
          <w:rFonts w:ascii="仿宋_GB2312" w:hAnsi="黑体" w:eastAsia="仿宋_GB2312" w:cs="黑体"/>
          <w:kern w:val="0"/>
          <w:sz w:val="32"/>
          <w:szCs w:val="32"/>
        </w:rPr>
        <w:t>8</w:t>
      </w:r>
      <w:r>
        <w:rPr>
          <w:rFonts w:hint="eastAsia" w:ascii="仿宋_GB2312" w:hAnsi="黑体" w:eastAsia="仿宋_GB2312" w:cs="黑体"/>
          <w:kern w:val="0"/>
          <w:sz w:val="32"/>
          <w:szCs w:val="32"/>
        </w:rPr>
        <w:t>班（不含）以下或国内独飞航段的航班不列入统计范围。</w:t>
      </w:r>
    </w:p>
    <w:p>
      <w:pPr>
        <w:ind w:firstLine="640" w:firstLineChars="200"/>
        <w:rPr>
          <w:rFonts w:ascii="仿宋_GB2312" w:hAnsi="仿宋" w:eastAsia="仿宋_GB2312" w:cs="仿宋_GB2312"/>
          <w:bCs/>
          <w:sz w:val="32"/>
          <w:szCs w:val="32"/>
        </w:rPr>
      </w:pPr>
      <w:r>
        <w:rPr>
          <w:rFonts w:ascii="仿宋_GB2312" w:hAnsi="仿宋" w:eastAsia="仿宋_GB2312" w:cs="仿宋_GB2312"/>
          <w:bCs/>
          <w:sz w:val="32"/>
          <w:szCs w:val="32"/>
        </w:rPr>
        <w:t>2.</w:t>
      </w:r>
      <w:r>
        <w:rPr>
          <w:rFonts w:hint="eastAsia" w:ascii="仿宋_GB2312" w:hAnsi="仿宋" w:eastAsia="仿宋_GB2312" w:cs="仿宋_GB2312"/>
          <w:bCs/>
          <w:sz w:val="32"/>
          <w:szCs w:val="32"/>
        </w:rPr>
        <w:t>在时刻主、辅协调机场当月预先飞行计划执行率低于</w:t>
      </w:r>
      <w:r>
        <w:rPr>
          <w:rFonts w:ascii="仿宋_GB2312" w:hAnsi="仿宋" w:eastAsia="仿宋_GB2312" w:cs="仿宋_GB2312"/>
          <w:bCs/>
          <w:sz w:val="32"/>
          <w:szCs w:val="32"/>
        </w:rPr>
        <w:t>85%</w:t>
      </w:r>
      <w:r>
        <w:rPr>
          <w:rFonts w:hint="eastAsia" w:ascii="仿宋_GB2312" w:hAnsi="仿宋" w:eastAsia="仿宋_GB2312" w:cs="仿宋_GB2312"/>
          <w:bCs/>
          <w:sz w:val="32"/>
          <w:szCs w:val="32"/>
        </w:rPr>
        <w:t>（不含）的国内客运航空公司，自通报下发之日起连续</w:t>
      </w:r>
      <w:r>
        <w:rPr>
          <w:rFonts w:ascii="仿宋_GB2312" w:hAnsi="仿宋" w:eastAsia="仿宋_GB2312" w:cs="仿宋_GB2312"/>
          <w:bCs/>
          <w:sz w:val="32"/>
          <w:szCs w:val="32"/>
        </w:rPr>
        <w:t>3</w:t>
      </w:r>
      <w:r>
        <w:rPr>
          <w:rFonts w:hint="eastAsia" w:ascii="仿宋_GB2312" w:hAnsi="仿宋" w:eastAsia="仿宋_GB2312" w:cs="仿宋_GB2312"/>
          <w:bCs/>
          <w:sz w:val="32"/>
          <w:szCs w:val="32"/>
        </w:rPr>
        <w:t>个月停止受理该航空公司在该机场新增客运航班预先飞行计划的申请。同一年度内，航空公司在同一时刻主、辅协调机场被通报</w:t>
      </w:r>
      <w:r>
        <w:rPr>
          <w:rFonts w:ascii="仿宋_GB2312" w:hAnsi="仿宋" w:eastAsia="仿宋_GB2312" w:cs="仿宋_GB2312"/>
          <w:bCs/>
          <w:sz w:val="32"/>
          <w:szCs w:val="32"/>
        </w:rPr>
        <w:t>3</w:t>
      </w:r>
      <w:r>
        <w:rPr>
          <w:rFonts w:hint="eastAsia" w:ascii="仿宋_GB2312" w:hAnsi="仿宋" w:eastAsia="仿宋_GB2312" w:cs="仿宋_GB2312"/>
          <w:bCs/>
          <w:sz w:val="32"/>
          <w:szCs w:val="32"/>
        </w:rPr>
        <w:t>次（含）以上的，自通报下发之日起，连续</w:t>
      </w:r>
      <w:r>
        <w:rPr>
          <w:rFonts w:ascii="仿宋_GB2312" w:hAnsi="仿宋" w:eastAsia="仿宋_GB2312" w:cs="仿宋_GB2312"/>
          <w:bCs/>
          <w:sz w:val="32"/>
          <w:szCs w:val="32"/>
        </w:rPr>
        <w:t>3</w:t>
      </w:r>
      <w:r>
        <w:rPr>
          <w:rFonts w:hint="eastAsia" w:ascii="仿宋_GB2312" w:hAnsi="仿宋" w:eastAsia="仿宋_GB2312" w:cs="仿宋_GB2312"/>
          <w:bCs/>
          <w:sz w:val="32"/>
          <w:szCs w:val="32"/>
        </w:rPr>
        <w:t>个月停止受理该航空公司在所有时刻主、辅协调机场新增或调整客运航班的预先飞行计划申请。航空公司在该机场当月预先飞行计划数</w:t>
      </w:r>
      <w:r>
        <w:rPr>
          <w:rFonts w:ascii="仿宋_GB2312" w:hAnsi="黑体" w:eastAsia="仿宋_GB2312" w:cs="黑体"/>
          <w:kern w:val="0"/>
          <w:sz w:val="32"/>
          <w:szCs w:val="32"/>
        </w:rPr>
        <w:t>8</w:t>
      </w:r>
      <w:r>
        <w:rPr>
          <w:rFonts w:hint="eastAsia" w:ascii="仿宋_GB2312" w:hAnsi="黑体" w:eastAsia="仿宋_GB2312" w:cs="黑体"/>
          <w:kern w:val="0"/>
          <w:sz w:val="32"/>
          <w:szCs w:val="32"/>
        </w:rPr>
        <w:t>班（不含）以下的不列入统计范围。</w:t>
      </w:r>
    </w:p>
    <w:p>
      <w:pPr>
        <w:ind w:firstLine="640" w:firstLineChars="200"/>
        <w:rPr>
          <w:rFonts w:ascii="仿宋_GB2312" w:hAnsi="仿宋" w:eastAsia="仿宋_GB2312" w:cs="仿宋_GB2312"/>
          <w:sz w:val="32"/>
          <w:szCs w:val="32"/>
        </w:rPr>
      </w:pPr>
      <w:r>
        <w:rPr>
          <w:rFonts w:ascii="仿宋_GB2312" w:hAnsi="仿宋" w:eastAsia="仿宋_GB2312" w:cs="仿宋_GB2312"/>
          <w:sz w:val="32"/>
          <w:szCs w:val="32"/>
        </w:rPr>
        <w:t>3.</w:t>
      </w:r>
      <w:r>
        <w:rPr>
          <w:rFonts w:hint="eastAsia" w:ascii="仿宋_GB2312" w:hAnsi="仿宋" w:eastAsia="仿宋_GB2312" w:cs="仿宋_GB2312"/>
          <w:sz w:val="32"/>
          <w:szCs w:val="32"/>
        </w:rPr>
        <w:t>由于自身原因导致的不正常航班数占当月计划航班数比例高于</w:t>
      </w:r>
      <w:r>
        <w:rPr>
          <w:rFonts w:ascii="仿宋_GB2312" w:hAnsi="仿宋" w:eastAsia="仿宋_GB2312" w:cs="仿宋_GB2312"/>
          <w:sz w:val="32"/>
          <w:szCs w:val="32"/>
        </w:rPr>
        <w:t>7%</w:t>
      </w:r>
      <w:r>
        <w:rPr>
          <w:rFonts w:hint="eastAsia" w:ascii="仿宋_GB2312" w:hAnsi="仿宋" w:eastAsia="仿宋_GB2312" w:cs="仿宋_GB2312"/>
          <w:sz w:val="32"/>
          <w:szCs w:val="32"/>
        </w:rPr>
        <w:t>（含）</w:t>
      </w:r>
      <w:r>
        <w:rPr>
          <w:rFonts w:ascii="仿宋_GB2312" w:hAnsi="仿宋" w:eastAsia="仿宋_GB2312" w:cs="仿宋_GB2312"/>
          <w:sz w:val="32"/>
          <w:szCs w:val="32"/>
        </w:rPr>
        <w:t>(</w:t>
      </w:r>
      <w:r>
        <w:rPr>
          <w:rFonts w:hint="eastAsia" w:ascii="仿宋_GB2312" w:hAnsi="仿宋" w:eastAsia="仿宋_GB2312" w:cs="仿宋_GB2312"/>
          <w:sz w:val="32"/>
          <w:szCs w:val="32"/>
        </w:rPr>
        <w:t>公司原因导致的不正常航班数量</w:t>
      </w:r>
      <w:r>
        <w:rPr>
          <w:rFonts w:ascii="仿宋_GB2312" w:hAnsi="仿宋" w:eastAsia="仿宋_GB2312" w:cs="仿宋_GB2312"/>
          <w:sz w:val="32"/>
          <w:szCs w:val="32"/>
        </w:rPr>
        <w:t>/</w:t>
      </w:r>
      <w:r>
        <w:rPr>
          <w:rFonts w:hint="eastAsia" w:ascii="仿宋_GB2312" w:hAnsi="仿宋" w:eastAsia="仿宋_GB2312" w:cs="仿宋_GB2312"/>
          <w:sz w:val="32"/>
          <w:szCs w:val="32"/>
        </w:rPr>
        <w:t>计划航班数量</w:t>
      </w:r>
      <w:r>
        <w:rPr>
          <w:rFonts w:ascii="仿宋_GB2312" w:hAnsi="仿宋" w:eastAsia="仿宋_GB2312" w:cs="仿宋_GB2312"/>
          <w:sz w:val="32"/>
          <w:szCs w:val="32"/>
        </w:rPr>
        <w:t>*100%</w:t>
      </w:r>
      <w:r>
        <w:rPr>
          <w:rFonts w:hint="eastAsia" w:ascii="仿宋_GB2312" w:hAnsi="仿宋" w:eastAsia="仿宋_GB2312" w:cs="仿宋_GB2312"/>
          <w:sz w:val="32"/>
          <w:szCs w:val="32"/>
        </w:rPr>
        <w:t>≥</w:t>
      </w:r>
      <w:r>
        <w:rPr>
          <w:rFonts w:ascii="仿宋_GB2312" w:hAnsi="仿宋" w:eastAsia="仿宋_GB2312" w:cs="仿宋_GB2312"/>
          <w:sz w:val="32"/>
          <w:szCs w:val="32"/>
        </w:rPr>
        <w:t>7%)</w:t>
      </w:r>
      <w:r>
        <w:rPr>
          <w:rFonts w:hint="eastAsia" w:ascii="仿宋_GB2312" w:hAnsi="仿宋" w:eastAsia="仿宋_GB2312" w:cs="仿宋_GB2312"/>
          <w:sz w:val="32"/>
          <w:szCs w:val="32"/>
        </w:rPr>
        <w:t>，并且比例最高的</w:t>
      </w:r>
      <w:r>
        <w:rPr>
          <w:rFonts w:ascii="仿宋_GB2312" w:hAnsi="仿宋" w:eastAsia="仿宋_GB2312" w:cs="仿宋_GB2312"/>
          <w:sz w:val="32"/>
          <w:szCs w:val="32"/>
        </w:rPr>
        <w:t>3</w:t>
      </w:r>
      <w:r>
        <w:rPr>
          <w:rFonts w:hint="eastAsia" w:ascii="仿宋_GB2312" w:hAnsi="仿宋" w:eastAsia="仿宋_GB2312" w:cs="仿宋_GB2312"/>
          <w:sz w:val="32"/>
          <w:szCs w:val="32"/>
        </w:rPr>
        <w:t>家客运航空公司，自通报下发之日起连续</w:t>
      </w:r>
      <w:r>
        <w:rPr>
          <w:rFonts w:ascii="仿宋_GB2312" w:hAnsi="仿宋" w:eastAsia="仿宋_GB2312" w:cs="仿宋_GB2312"/>
          <w:sz w:val="32"/>
          <w:szCs w:val="32"/>
        </w:rPr>
        <w:t>3</w:t>
      </w:r>
      <w:r>
        <w:rPr>
          <w:rFonts w:hint="eastAsia" w:ascii="仿宋_GB2312" w:hAnsi="仿宋" w:eastAsia="仿宋_GB2312" w:cs="仿宋_GB2312"/>
          <w:sz w:val="32"/>
          <w:szCs w:val="32"/>
        </w:rPr>
        <w:t>个月停止受理该航空公司客运加班、包机和新增航线航班申请。</w:t>
      </w:r>
    </w:p>
    <w:p>
      <w:pPr>
        <w:ind w:firstLine="640" w:firstLineChars="200"/>
        <w:rPr>
          <w:rFonts w:ascii="仿宋_GB2312" w:hAnsi="仿宋" w:eastAsia="仿宋_GB2312" w:cs="仿宋_GB2312"/>
          <w:sz w:val="32"/>
          <w:szCs w:val="32"/>
        </w:rPr>
      </w:pPr>
      <w:r>
        <w:rPr>
          <w:rFonts w:ascii="仿宋_GB2312" w:hAnsi="仿宋" w:eastAsia="仿宋_GB2312" w:cs="仿宋_GB2312"/>
          <w:sz w:val="32"/>
          <w:szCs w:val="32"/>
        </w:rPr>
        <w:t>4.</w:t>
      </w:r>
      <w:r>
        <w:rPr>
          <w:rFonts w:hint="eastAsia" w:ascii="仿宋_GB2312" w:hAnsi="仿宋" w:eastAsia="仿宋_GB2312" w:cs="仿宋_GB2312"/>
          <w:sz w:val="32"/>
          <w:szCs w:val="32"/>
        </w:rPr>
        <w:t>客运航空公司当月到港航班正常率低于</w:t>
      </w:r>
      <w:r>
        <w:rPr>
          <w:rFonts w:ascii="仿宋_GB2312" w:hAnsi="仿宋" w:eastAsia="仿宋_GB2312" w:cs="仿宋_GB2312"/>
          <w:sz w:val="32"/>
          <w:szCs w:val="32"/>
        </w:rPr>
        <w:t>70%</w:t>
      </w:r>
      <w:r>
        <w:rPr>
          <w:rFonts w:hint="eastAsia" w:ascii="仿宋_GB2312" w:hAnsi="仿宋" w:eastAsia="仿宋_GB2312" w:cs="仿宋_GB2312"/>
          <w:sz w:val="32"/>
          <w:szCs w:val="32"/>
        </w:rPr>
        <w:t>（不含）且排名后</w:t>
      </w:r>
      <w:r>
        <w:rPr>
          <w:rFonts w:ascii="仿宋_GB2312" w:hAnsi="仿宋" w:eastAsia="仿宋_GB2312" w:cs="仿宋_GB2312"/>
          <w:sz w:val="32"/>
          <w:szCs w:val="32"/>
        </w:rPr>
        <w:t>3</w:t>
      </w:r>
      <w:r>
        <w:rPr>
          <w:rFonts w:hint="eastAsia" w:ascii="仿宋_GB2312" w:hAnsi="仿宋" w:eastAsia="仿宋_GB2312" w:cs="仿宋_GB2312"/>
          <w:sz w:val="32"/>
          <w:szCs w:val="32"/>
        </w:rPr>
        <w:t>位的，予以通报；连续</w:t>
      </w:r>
      <w:r>
        <w:rPr>
          <w:rFonts w:ascii="仿宋_GB2312" w:hAnsi="仿宋" w:eastAsia="仿宋_GB2312" w:cs="仿宋_GB2312"/>
          <w:sz w:val="32"/>
          <w:szCs w:val="32"/>
        </w:rPr>
        <w:t>2</w:t>
      </w:r>
      <w:r>
        <w:rPr>
          <w:rFonts w:hint="eastAsia" w:ascii="仿宋_GB2312" w:hAnsi="仿宋" w:eastAsia="仿宋_GB2312" w:cs="仿宋_GB2312"/>
          <w:sz w:val="32"/>
          <w:szCs w:val="32"/>
        </w:rPr>
        <w:t>个月每月低于</w:t>
      </w:r>
      <w:r>
        <w:rPr>
          <w:rFonts w:ascii="仿宋_GB2312" w:hAnsi="仿宋" w:eastAsia="仿宋_GB2312" w:cs="仿宋_GB2312"/>
          <w:sz w:val="32"/>
          <w:szCs w:val="32"/>
        </w:rPr>
        <w:t>70%</w:t>
      </w:r>
      <w:r>
        <w:rPr>
          <w:rFonts w:hint="eastAsia" w:ascii="仿宋_GB2312" w:hAnsi="仿宋" w:eastAsia="仿宋_GB2312" w:cs="仿宋_GB2312"/>
          <w:sz w:val="32"/>
          <w:szCs w:val="32"/>
        </w:rPr>
        <w:t>（不含）且排名后</w:t>
      </w:r>
      <w:r>
        <w:rPr>
          <w:rFonts w:ascii="仿宋_GB2312" w:hAnsi="仿宋" w:eastAsia="仿宋_GB2312" w:cs="仿宋_GB2312"/>
          <w:sz w:val="32"/>
          <w:szCs w:val="32"/>
        </w:rPr>
        <w:t>3</w:t>
      </w:r>
      <w:r>
        <w:rPr>
          <w:rFonts w:hint="eastAsia" w:ascii="仿宋_GB2312" w:hAnsi="仿宋" w:eastAsia="仿宋_GB2312" w:cs="仿宋_GB2312"/>
          <w:sz w:val="32"/>
          <w:szCs w:val="32"/>
        </w:rPr>
        <w:t>位的，自通报下发之日起连续</w:t>
      </w:r>
      <w:r>
        <w:rPr>
          <w:rFonts w:ascii="仿宋_GB2312" w:hAnsi="仿宋" w:eastAsia="仿宋_GB2312" w:cs="仿宋_GB2312"/>
          <w:sz w:val="32"/>
          <w:szCs w:val="32"/>
        </w:rPr>
        <w:t>3</w:t>
      </w:r>
      <w:r>
        <w:rPr>
          <w:rFonts w:hint="eastAsia" w:ascii="仿宋_GB2312" w:hAnsi="仿宋" w:eastAsia="仿宋_GB2312" w:cs="仿宋_GB2312"/>
          <w:sz w:val="32"/>
          <w:szCs w:val="32"/>
        </w:rPr>
        <w:t>个月停止受理该航空公司客运加班、包机和新增航线航班申请。</w:t>
      </w:r>
    </w:p>
    <w:p>
      <w:pPr>
        <w:ind w:firstLine="640" w:firstLineChars="200"/>
        <w:rPr>
          <w:rFonts w:ascii="楷体_GB2312" w:eastAsia="楷体_GB2312"/>
          <w:sz w:val="32"/>
          <w:szCs w:val="32"/>
        </w:rPr>
      </w:pPr>
      <w:r>
        <w:rPr>
          <w:rFonts w:hint="eastAsia" w:ascii="楷体_GB2312" w:hAnsi="黑体" w:eastAsia="楷体_GB2312"/>
          <w:sz w:val="32"/>
          <w:szCs w:val="32"/>
        </w:rPr>
        <w:t>（二）</w:t>
      </w:r>
      <w:r>
        <w:rPr>
          <w:rFonts w:hint="eastAsia" w:ascii="楷体_GB2312" w:eastAsia="楷体_GB2312" w:cs="黑体"/>
          <w:sz w:val="32"/>
          <w:szCs w:val="32"/>
        </w:rPr>
        <w:t>机场考核指标和调控措施</w:t>
      </w:r>
    </w:p>
    <w:p>
      <w:pPr>
        <w:ind w:firstLine="640" w:firstLineChars="200"/>
        <w:rPr>
          <w:rFonts w:ascii="仿宋_GB2312" w:hAnsi="仿宋" w:eastAsia="仿宋_GB2312" w:cs="仿宋_GB2312"/>
          <w:sz w:val="32"/>
          <w:szCs w:val="32"/>
        </w:rPr>
      </w:pPr>
      <w:r>
        <w:rPr>
          <w:rFonts w:ascii="仿宋_GB2312" w:hAnsi="黑体" w:eastAsia="仿宋_GB2312" w:cs="黑体"/>
          <w:sz w:val="32"/>
          <w:szCs w:val="32"/>
        </w:rPr>
        <w:t>1.</w:t>
      </w:r>
      <w:r>
        <w:rPr>
          <w:rFonts w:hint="eastAsia" w:ascii="仿宋_GB2312" w:hAnsi="黑体" w:eastAsia="仿宋_GB2312" w:cs="黑体"/>
          <w:sz w:val="32"/>
          <w:szCs w:val="32"/>
        </w:rPr>
        <w:t>旅客吞吐量</w:t>
      </w:r>
      <w:r>
        <w:rPr>
          <w:rFonts w:ascii="仿宋_GB2312" w:hAnsi="黑体" w:eastAsia="仿宋_GB2312" w:cs="黑体"/>
          <w:sz w:val="32"/>
          <w:szCs w:val="32"/>
        </w:rPr>
        <w:t>2000</w:t>
      </w:r>
      <w:r>
        <w:rPr>
          <w:rFonts w:hint="eastAsia" w:ascii="仿宋_GB2312" w:hAnsi="黑体" w:eastAsia="仿宋_GB2312" w:cs="黑体"/>
          <w:sz w:val="32"/>
          <w:szCs w:val="32"/>
        </w:rPr>
        <w:t>万人次（含）以上的机场</w:t>
      </w:r>
      <w:r>
        <w:rPr>
          <w:rFonts w:hint="eastAsia" w:ascii="仿宋_GB2312" w:hAnsi="仿宋" w:eastAsia="仿宋_GB2312" w:cs="仿宋_GB2312"/>
          <w:sz w:val="32"/>
          <w:szCs w:val="32"/>
        </w:rPr>
        <w:t>当月放行正常率和航班起飞正常率加权平均值低于</w:t>
      </w:r>
      <w:r>
        <w:rPr>
          <w:rFonts w:ascii="仿宋_GB2312" w:hAnsi="仿宋" w:eastAsia="仿宋_GB2312" w:cs="仿宋_GB2312"/>
          <w:sz w:val="32"/>
          <w:szCs w:val="32"/>
        </w:rPr>
        <w:t>75%</w:t>
      </w:r>
      <w:r>
        <w:rPr>
          <w:rFonts w:hint="eastAsia" w:ascii="仿宋_GB2312" w:hAnsi="仿宋" w:eastAsia="仿宋_GB2312" w:cs="仿宋_GB2312"/>
          <w:sz w:val="32"/>
          <w:szCs w:val="32"/>
        </w:rPr>
        <w:t>（不含）且排名后</w:t>
      </w:r>
      <w:r>
        <w:rPr>
          <w:rFonts w:ascii="仿宋_GB2312" w:hAnsi="仿宋" w:eastAsia="仿宋_GB2312" w:cs="仿宋_GB2312"/>
          <w:sz w:val="32"/>
          <w:szCs w:val="32"/>
        </w:rPr>
        <w:t>3</w:t>
      </w:r>
      <w:r>
        <w:rPr>
          <w:rFonts w:hint="eastAsia" w:ascii="仿宋_GB2312" w:hAnsi="仿宋" w:eastAsia="仿宋_GB2312" w:cs="仿宋_GB2312"/>
          <w:sz w:val="32"/>
          <w:szCs w:val="32"/>
        </w:rPr>
        <w:t>位的，予以通报；连续</w:t>
      </w:r>
      <w:r>
        <w:rPr>
          <w:rFonts w:ascii="仿宋_GB2312" w:hAnsi="仿宋" w:eastAsia="仿宋_GB2312" w:cs="仿宋_GB2312"/>
          <w:sz w:val="32"/>
          <w:szCs w:val="32"/>
        </w:rPr>
        <w:t>2</w:t>
      </w:r>
      <w:r>
        <w:rPr>
          <w:rFonts w:hint="eastAsia" w:ascii="仿宋_GB2312" w:hAnsi="仿宋" w:eastAsia="仿宋_GB2312" w:cs="仿宋_GB2312"/>
          <w:sz w:val="32"/>
          <w:szCs w:val="32"/>
        </w:rPr>
        <w:t>个</w:t>
      </w:r>
      <w:r>
        <w:rPr>
          <w:rFonts w:hint="eastAsia" w:ascii="仿宋_GB2312" w:hAnsi="黑体" w:eastAsia="仿宋_GB2312" w:cs="黑体"/>
          <w:sz w:val="32"/>
          <w:szCs w:val="32"/>
        </w:rPr>
        <w:t>月每月</w:t>
      </w:r>
      <w:r>
        <w:rPr>
          <w:rFonts w:hint="eastAsia" w:ascii="仿宋_GB2312" w:hAnsi="仿宋" w:eastAsia="仿宋_GB2312" w:cs="仿宋_GB2312"/>
          <w:sz w:val="32"/>
          <w:szCs w:val="32"/>
        </w:rPr>
        <w:t>低于</w:t>
      </w:r>
      <w:r>
        <w:rPr>
          <w:rFonts w:ascii="仿宋_GB2312" w:hAnsi="仿宋" w:eastAsia="仿宋_GB2312" w:cs="仿宋_GB2312"/>
          <w:sz w:val="32"/>
          <w:szCs w:val="32"/>
        </w:rPr>
        <w:t>75%</w:t>
      </w:r>
      <w:r>
        <w:rPr>
          <w:rFonts w:hint="eastAsia" w:ascii="仿宋_GB2312" w:hAnsi="仿宋" w:eastAsia="仿宋_GB2312" w:cs="仿宋_GB2312"/>
          <w:sz w:val="32"/>
          <w:szCs w:val="32"/>
        </w:rPr>
        <w:t>（不含）且排名后</w:t>
      </w:r>
      <w:r>
        <w:rPr>
          <w:rFonts w:ascii="仿宋_GB2312" w:hAnsi="仿宋" w:eastAsia="仿宋_GB2312" w:cs="仿宋_GB2312"/>
          <w:sz w:val="32"/>
          <w:szCs w:val="32"/>
        </w:rPr>
        <w:t>3</w:t>
      </w:r>
      <w:r>
        <w:rPr>
          <w:rFonts w:hint="eastAsia" w:ascii="仿宋_GB2312" w:hAnsi="仿宋" w:eastAsia="仿宋_GB2312" w:cs="仿宋_GB2312"/>
          <w:sz w:val="32"/>
          <w:szCs w:val="32"/>
        </w:rPr>
        <w:t>位的</w:t>
      </w:r>
      <w:r>
        <w:rPr>
          <w:rFonts w:hint="eastAsia" w:ascii="仿宋_GB2312" w:hAnsi="黑体" w:eastAsia="仿宋_GB2312" w:cs="黑体"/>
          <w:sz w:val="32"/>
          <w:szCs w:val="32"/>
        </w:rPr>
        <w:t>，自通报下发之日起连续</w:t>
      </w:r>
      <w:r>
        <w:rPr>
          <w:rFonts w:ascii="仿宋_GB2312" w:hAnsi="黑体" w:eastAsia="仿宋_GB2312" w:cs="黑体"/>
          <w:sz w:val="32"/>
          <w:szCs w:val="32"/>
        </w:rPr>
        <w:t>3</w:t>
      </w:r>
      <w:r>
        <w:rPr>
          <w:rFonts w:hint="eastAsia" w:ascii="仿宋_GB2312" w:hAnsi="黑体" w:eastAsia="仿宋_GB2312" w:cs="黑体"/>
          <w:sz w:val="32"/>
          <w:szCs w:val="32"/>
        </w:rPr>
        <w:t>个月停止受理该机场客运加班、包机和新增航线航班申请（正常航班换季、特殊加班和包机、新开国际航线除外）</w:t>
      </w:r>
      <w:r>
        <w:rPr>
          <w:rFonts w:hint="eastAsia" w:ascii="仿宋_GB2312" w:hAnsi="仿宋" w:eastAsia="仿宋_GB2312" w:cs="仿宋_GB2312"/>
          <w:sz w:val="32"/>
          <w:szCs w:val="32"/>
        </w:rPr>
        <w:t>。</w:t>
      </w:r>
    </w:p>
    <w:p>
      <w:pPr>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注：</w:t>
      </w:r>
      <w:r>
        <w:rPr>
          <w:rFonts w:hint="eastAsia" w:ascii="仿宋_GB2312" w:hAnsi="仿宋" w:eastAsia="仿宋_GB2312" w:cs="仿宋_GB2312"/>
          <w:bCs/>
          <w:sz w:val="32"/>
          <w:szCs w:val="32"/>
        </w:rPr>
        <w:t>放行正常率和航班起飞正常率的加权比例按照5</w:t>
      </w:r>
      <w:r>
        <w:rPr>
          <w:rFonts w:ascii="仿宋_GB2312" w:hAnsi="仿宋" w:eastAsia="仿宋_GB2312" w:cs="仿宋_GB2312"/>
          <w:bCs/>
          <w:sz w:val="32"/>
          <w:szCs w:val="32"/>
        </w:rPr>
        <w:t>0%</w:t>
      </w:r>
      <w:r>
        <w:rPr>
          <w:rFonts w:hint="eastAsia" w:ascii="仿宋_GB2312" w:hAnsi="仿宋" w:eastAsia="仿宋_GB2312" w:cs="仿宋_GB2312"/>
          <w:bCs/>
          <w:sz w:val="32"/>
          <w:szCs w:val="32"/>
        </w:rPr>
        <w:t>和5</w:t>
      </w:r>
      <w:r>
        <w:rPr>
          <w:rFonts w:ascii="仿宋_GB2312" w:hAnsi="仿宋" w:eastAsia="仿宋_GB2312" w:cs="仿宋_GB2312"/>
          <w:bCs/>
          <w:sz w:val="32"/>
          <w:szCs w:val="32"/>
        </w:rPr>
        <w:t>0%</w:t>
      </w:r>
      <w:r>
        <w:rPr>
          <w:rFonts w:hint="eastAsia" w:ascii="仿宋_GB2312" w:hAnsi="仿宋" w:eastAsia="仿宋_GB2312" w:cs="仿宋_GB2312"/>
          <w:bCs/>
          <w:sz w:val="32"/>
          <w:szCs w:val="32"/>
        </w:rPr>
        <w:t>确定。</w:t>
      </w:r>
    </w:p>
    <w:p>
      <w:pPr>
        <w:ind w:firstLine="640" w:firstLineChars="200"/>
        <w:rPr>
          <w:rFonts w:ascii="仿宋_GB2312" w:hAnsi="仿宋" w:eastAsia="仿宋_GB2312" w:cs="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z w:val="32"/>
          <w:szCs w:val="32"/>
        </w:rPr>
        <w:t>旅客吞吐量</w:t>
      </w:r>
      <w:r>
        <w:rPr>
          <w:rFonts w:ascii="仿宋_GB2312" w:hAnsi="仿宋" w:eastAsia="仿宋_GB2312" w:cs="仿宋_GB2312"/>
          <w:sz w:val="32"/>
          <w:szCs w:val="32"/>
        </w:rPr>
        <w:t>2000</w:t>
      </w:r>
      <w:r>
        <w:rPr>
          <w:rFonts w:hint="eastAsia" w:ascii="仿宋_GB2312" w:hAnsi="仿宋" w:eastAsia="仿宋_GB2312" w:cs="仿宋_GB2312"/>
          <w:sz w:val="32"/>
          <w:szCs w:val="32"/>
        </w:rPr>
        <w:t>万人次（含）以上的机场当月始发航班起飞正常率低于</w:t>
      </w:r>
      <w:r>
        <w:rPr>
          <w:rFonts w:ascii="仿宋_GB2312" w:hAnsi="仿宋" w:eastAsia="仿宋_GB2312" w:cs="仿宋_GB2312"/>
          <w:sz w:val="32"/>
          <w:szCs w:val="32"/>
        </w:rPr>
        <w:t>75%</w:t>
      </w:r>
      <w:r>
        <w:rPr>
          <w:rFonts w:hint="eastAsia" w:ascii="仿宋_GB2312" w:hAnsi="仿宋" w:eastAsia="仿宋_GB2312" w:cs="仿宋_GB2312"/>
          <w:sz w:val="32"/>
          <w:szCs w:val="32"/>
        </w:rPr>
        <w:t>（不含）且排名后3位的，予以通报；连续</w:t>
      </w:r>
      <w:r>
        <w:rPr>
          <w:rFonts w:ascii="仿宋_GB2312" w:hAnsi="仿宋" w:eastAsia="仿宋_GB2312" w:cs="仿宋_GB2312"/>
          <w:sz w:val="32"/>
          <w:szCs w:val="32"/>
        </w:rPr>
        <w:t>2</w:t>
      </w:r>
      <w:r>
        <w:rPr>
          <w:rFonts w:hint="eastAsia" w:ascii="仿宋_GB2312" w:hAnsi="仿宋" w:eastAsia="仿宋_GB2312" w:cs="仿宋_GB2312"/>
          <w:sz w:val="32"/>
          <w:szCs w:val="32"/>
        </w:rPr>
        <w:t>个月每月始发航班起飞正常率低于</w:t>
      </w:r>
      <w:r>
        <w:rPr>
          <w:rFonts w:ascii="仿宋_GB2312" w:hAnsi="仿宋" w:eastAsia="仿宋_GB2312" w:cs="仿宋_GB2312"/>
          <w:sz w:val="32"/>
          <w:szCs w:val="32"/>
        </w:rPr>
        <w:t>75%</w:t>
      </w:r>
      <w:r>
        <w:rPr>
          <w:rFonts w:hint="eastAsia" w:ascii="仿宋_GB2312" w:hAnsi="仿宋" w:eastAsia="仿宋_GB2312" w:cs="仿宋_GB2312"/>
          <w:sz w:val="32"/>
          <w:szCs w:val="32"/>
        </w:rPr>
        <w:t>（不含）且排名后</w:t>
      </w:r>
      <w:r>
        <w:rPr>
          <w:rFonts w:ascii="仿宋_GB2312" w:hAnsi="仿宋" w:eastAsia="仿宋_GB2312" w:cs="仿宋_GB2312"/>
          <w:sz w:val="32"/>
          <w:szCs w:val="32"/>
        </w:rPr>
        <w:t>3</w:t>
      </w:r>
      <w:r>
        <w:rPr>
          <w:rFonts w:hint="eastAsia" w:ascii="仿宋_GB2312" w:hAnsi="仿宋" w:eastAsia="仿宋_GB2312" w:cs="仿宋_GB2312"/>
          <w:sz w:val="32"/>
          <w:szCs w:val="32"/>
        </w:rPr>
        <w:t>位的，</w:t>
      </w:r>
      <w:r>
        <w:rPr>
          <w:rFonts w:hint="eastAsia" w:ascii="仿宋_GB2312" w:hAnsi="黑体" w:eastAsia="仿宋_GB2312" w:cs="黑体"/>
          <w:sz w:val="32"/>
          <w:szCs w:val="32"/>
        </w:rPr>
        <w:t>自通报下发之日起连续</w:t>
      </w:r>
      <w:r>
        <w:rPr>
          <w:rFonts w:ascii="仿宋_GB2312" w:hAnsi="黑体" w:eastAsia="仿宋_GB2312" w:cs="黑体"/>
          <w:sz w:val="32"/>
          <w:szCs w:val="32"/>
        </w:rPr>
        <w:t>3</w:t>
      </w:r>
      <w:r>
        <w:rPr>
          <w:rFonts w:hint="eastAsia" w:ascii="仿宋_GB2312" w:hAnsi="黑体" w:eastAsia="仿宋_GB2312" w:cs="黑体"/>
          <w:sz w:val="32"/>
          <w:szCs w:val="32"/>
        </w:rPr>
        <w:t>个月停止受理该机场客运加班、包机和新增航线航班申请（正常航班换季、特殊加班和包机、新开国际航线除外）</w:t>
      </w:r>
      <w:r>
        <w:rPr>
          <w:rFonts w:hint="eastAsia" w:ascii="仿宋_GB2312" w:hAnsi="仿宋" w:eastAsia="仿宋_GB2312" w:cs="仿宋_GB2312"/>
          <w:sz w:val="32"/>
          <w:szCs w:val="32"/>
        </w:rPr>
        <w:t>。</w:t>
      </w:r>
    </w:p>
    <w:p>
      <w:pPr>
        <w:ind w:firstLine="640" w:firstLineChars="200"/>
        <w:rPr>
          <w:rFonts w:ascii="楷体_GB2312" w:eastAsia="楷体_GB2312"/>
          <w:sz w:val="32"/>
          <w:szCs w:val="32"/>
        </w:rPr>
      </w:pPr>
      <w:r>
        <w:rPr>
          <w:rFonts w:hint="eastAsia" w:ascii="楷体_GB2312" w:hAnsi="黑体" w:eastAsia="楷体_GB2312"/>
          <w:sz w:val="32"/>
          <w:szCs w:val="32"/>
        </w:rPr>
        <w:t>（三）</w:t>
      </w:r>
      <w:r>
        <w:rPr>
          <w:rFonts w:hint="eastAsia" w:ascii="楷体_GB2312" w:eastAsia="楷体_GB2312" w:cs="黑体"/>
          <w:sz w:val="32"/>
          <w:szCs w:val="32"/>
        </w:rPr>
        <w:t>空管考核指标和调控措施</w:t>
      </w:r>
    </w:p>
    <w:p>
      <w:pPr>
        <w:ind w:firstLine="640" w:firstLineChars="200"/>
        <w:rPr>
          <w:rFonts w:ascii="黑体" w:hAnsi="黑体" w:eastAsia="黑体"/>
          <w:sz w:val="32"/>
          <w:szCs w:val="32"/>
        </w:rPr>
      </w:pPr>
      <w:r>
        <w:rPr>
          <w:rFonts w:hint="eastAsia" w:ascii="仿宋_GB2312" w:hAnsi="华文中宋" w:eastAsia="仿宋_GB2312" w:cs="仿宋_GB2312"/>
          <w:sz w:val="32"/>
          <w:szCs w:val="32"/>
        </w:rPr>
        <w:t>由于空管原因导致的不正常航班数占当月计划航班数比例高于2</w:t>
      </w:r>
      <w:r>
        <w:rPr>
          <w:rFonts w:ascii="仿宋_GB2312" w:hAnsi="华文中宋" w:eastAsia="仿宋_GB2312" w:cs="仿宋_GB2312"/>
          <w:sz w:val="32"/>
          <w:szCs w:val="32"/>
        </w:rPr>
        <w:t>%</w:t>
      </w:r>
      <w:r>
        <w:rPr>
          <w:rFonts w:hint="eastAsia" w:ascii="仿宋_GB2312" w:hAnsi="华文中宋" w:eastAsia="仿宋_GB2312" w:cs="仿宋_GB2312"/>
          <w:sz w:val="32"/>
          <w:szCs w:val="32"/>
        </w:rPr>
        <w:t>（含）的，按照《航班正常管理规定》进行处罚。</w:t>
      </w:r>
    </w:p>
    <w:p>
      <w:pPr>
        <w:autoSpaceDE w:val="0"/>
        <w:autoSpaceDN w:val="0"/>
        <w:adjustRightInd w:val="0"/>
        <w:ind w:firstLine="640" w:firstLineChars="200"/>
        <w:jc w:val="left"/>
        <w:rPr>
          <w:rFonts w:ascii="黑体" w:hAnsi="黑体" w:eastAsia="黑体"/>
          <w:sz w:val="32"/>
          <w:szCs w:val="32"/>
        </w:rPr>
      </w:pPr>
      <w:r>
        <w:rPr>
          <w:rFonts w:hint="eastAsia" w:ascii="黑体" w:hAnsi="黑体" w:eastAsia="黑体"/>
          <w:sz w:val="32"/>
          <w:szCs w:val="32"/>
        </w:rPr>
        <w:t>三、相关要求</w:t>
      </w:r>
    </w:p>
    <w:p>
      <w:pPr>
        <w:ind w:firstLine="640" w:firstLineChars="200"/>
        <w:rPr>
          <w:rFonts w:ascii="仿宋_GB2312" w:hAnsi="黑体" w:eastAsia="仿宋_GB2312"/>
          <w:sz w:val="32"/>
          <w:szCs w:val="32"/>
        </w:rPr>
      </w:pPr>
      <w:r>
        <w:rPr>
          <w:rFonts w:ascii="仿宋_GB2312" w:hAnsi="黑体" w:eastAsia="仿宋_GB2312"/>
          <w:sz w:val="32"/>
          <w:szCs w:val="32"/>
        </w:rPr>
        <w:t>1.</w:t>
      </w:r>
      <w:r>
        <w:rPr>
          <w:rFonts w:hint="eastAsia" w:ascii="仿宋_GB2312" w:hAnsi="黑体" w:eastAsia="仿宋_GB2312"/>
          <w:sz w:val="32"/>
          <w:szCs w:val="32"/>
        </w:rPr>
        <w:t>民航局运行监控中心自</w:t>
      </w:r>
      <w:r>
        <w:rPr>
          <w:rFonts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w:t>
      </w:r>
      <w:r>
        <w:rPr>
          <w:rFonts w:ascii="仿宋_GB2312" w:hAnsi="黑体" w:eastAsia="仿宋_GB2312"/>
          <w:sz w:val="32"/>
          <w:szCs w:val="32"/>
        </w:rPr>
        <w:t>1</w:t>
      </w:r>
      <w:r>
        <w:rPr>
          <w:rFonts w:hint="eastAsia" w:ascii="仿宋_GB2312" w:hAnsi="黑体" w:eastAsia="仿宋_GB2312"/>
          <w:sz w:val="32"/>
          <w:szCs w:val="32"/>
        </w:rPr>
        <w:t>月起统计相关数据，由民航局运输司每月发布通报。</w:t>
      </w:r>
    </w:p>
    <w:p>
      <w:pPr>
        <w:ind w:firstLine="640" w:firstLineChars="200"/>
        <w:rPr>
          <w:rFonts w:ascii="仿宋_GB2312" w:hAnsi="黑体" w:eastAsia="仿宋_GB2312"/>
          <w:sz w:val="32"/>
          <w:szCs w:val="32"/>
        </w:rPr>
      </w:pPr>
      <w:r>
        <w:rPr>
          <w:rFonts w:ascii="仿宋_GB2312" w:hAnsi="黑体" w:eastAsia="仿宋_GB2312"/>
          <w:sz w:val="32"/>
          <w:szCs w:val="32"/>
        </w:rPr>
        <w:t>2.</w:t>
      </w:r>
      <w:r>
        <w:rPr>
          <w:rFonts w:hint="eastAsia" w:ascii="仿宋_GB2312" w:hAnsi="黑体" w:eastAsia="仿宋_GB2312"/>
          <w:sz w:val="32"/>
          <w:szCs w:val="32"/>
        </w:rPr>
        <w:t>请各运行保障单位高度重视航班正常工作，强化内部管理，切实履行航班正常主体责任，提升航班正常管理水平。</w:t>
      </w:r>
    </w:p>
    <w:p>
      <w:pPr>
        <w:ind w:firstLine="640" w:firstLineChars="200"/>
        <w:rPr>
          <w:rFonts w:ascii="仿宋_GB2312" w:hAnsi="黑体" w:eastAsia="仿宋_GB2312"/>
          <w:sz w:val="32"/>
          <w:szCs w:val="32"/>
        </w:rPr>
      </w:pPr>
      <w:r>
        <w:rPr>
          <w:rFonts w:ascii="仿宋_GB2312" w:hAnsi="黑体" w:eastAsia="仿宋_GB2312"/>
          <w:sz w:val="32"/>
          <w:szCs w:val="32"/>
        </w:rPr>
        <w:t>3.</w:t>
      </w:r>
      <w:r>
        <w:rPr>
          <w:rFonts w:hint="eastAsia" w:ascii="仿宋_GB2312" w:hAnsi="黑体" w:eastAsia="仿宋_GB2312"/>
          <w:sz w:val="32"/>
          <w:szCs w:val="32"/>
        </w:rPr>
        <w:t>请各地区管理局认真履行航班正常监管责任，严格执行上述调控措施，督促辖区内各单位不断提升航班运行水平。</w:t>
      </w:r>
    </w:p>
    <w:p>
      <w:pPr>
        <w:ind w:firstLine="640" w:firstLineChars="200"/>
        <w:rPr>
          <w:rFonts w:ascii="仿宋_GB2312" w:hAnsi="黑体" w:eastAsia="仿宋_GB2312"/>
          <w:sz w:val="32"/>
          <w:szCs w:val="32"/>
        </w:rPr>
      </w:pPr>
      <w:r>
        <w:rPr>
          <w:rFonts w:ascii="仿宋_GB2312" w:hAnsi="黑体" w:eastAsia="仿宋_GB2312"/>
          <w:sz w:val="32"/>
          <w:szCs w:val="32"/>
        </w:rPr>
        <w:t>4.</w:t>
      </w:r>
      <w:r>
        <w:rPr>
          <w:rFonts w:hint="eastAsia" w:ascii="仿宋_GB2312" w:hAnsi="黑体" w:eastAsia="仿宋_GB2312"/>
          <w:sz w:val="32"/>
          <w:szCs w:val="32"/>
        </w:rPr>
        <w:t>各单位在执行过程中发现问题要及时反馈民航局。</w:t>
      </w:r>
    </w:p>
    <w:p>
      <w:pPr>
        <w:ind w:firstLine="640" w:firstLineChars="200"/>
        <w:rPr>
          <w:rFonts w:ascii="仿宋_GB2312" w:hAnsi="黑体" w:eastAsia="仿宋_GB2312"/>
          <w:sz w:val="32"/>
          <w:szCs w:val="32"/>
        </w:rPr>
      </w:pPr>
      <w:r>
        <w:rPr>
          <w:rFonts w:ascii="仿宋_GB2312" w:hAnsi="黑体" w:eastAsia="仿宋_GB2312"/>
          <w:sz w:val="32"/>
          <w:szCs w:val="32"/>
        </w:rPr>
        <w:t>5.</w:t>
      </w:r>
      <w:r>
        <w:rPr>
          <w:rFonts w:hint="eastAsia" w:ascii="仿宋_GB2312" w:hAnsi="黑体" w:eastAsia="仿宋_GB2312"/>
          <w:sz w:val="32"/>
          <w:szCs w:val="32"/>
        </w:rPr>
        <w:t>本考核指标和调控措施自</w:t>
      </w:r>
      <w:r>
        <w:rPr>
          <w:rFonts w:ascii="仿宋_GB2312" w:hAnsi="黑体" w:eastAsia="仿宋_GB2312"/>
          <w:sz w:val="32"/>
          <w:szCs w:val="32"/>
        </w:rPr>
        <w:t>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w:t>
      </w:r>
      <w:r>
        <w:rPr>
          <w:rFonts w:ascii="仿宋_GB2312" w:hAnsi="黑体" w:eastAsia="仿宋_GB2312"/>
          <w:sz w:val="32"/>
          <w:szCs w:val="32"/>
        </w:rPr>
        <w:t>1</w:t>
      </w:r>
      <w:r>
        <w:rPr>
          <w:rFonts w:hint="eastAsia" w:ascii="仿宋_GB2312" w:hAnsi="黑体" w:eastAsia="仿宋_GB2312"/>
          <w:sz w:val="32"/>
          <w:szCs w:val="32"/>
        </w:rPr>
        <w:t>月</w:t>
      </w:r>
      <w:r>
        <w:rPr>
          <w:rFonts w:ascii="仿宋_GB2312" w:hAnsi="黑体" w:eastAsia="仿宋_GB2312"/>
          <w:sz w:val="32"/>
          <w:szCs w:val="32"/>
        </w:rPr>
        <w:t>1</w:t>
      </w:r>
      <w:r>
        <w:rPr>
          <w:rFonts w:hint="eastAsia" w:ascii="仿宋_GB2312" w:hAnsi="黑体" w:eastAsia="仿宋_GB2312"/>
          <w:sz w:val="32"/>
          <w:szCs w:val="32"/>
        </w:rPr>
        <w:t>日起实施。</w:t>
      </w:r>
    </w:p>
    <w:p>
      <w:pPr>
        <w:ind w:firstLine="640" w:firstLineChars="200"/>
        <w:rPr>
          <w:rFonts w:ascii="仿宋_GB2312" w:hAnsi="黑体" w:eastAsia="仿宋_GB2312"/>
          <w:sz w:val="32"/>
          <w:szCs w:val="32"/>
        </w:rPr>
      </w:pPr>
    </w:p>
    <w:p>
      <w:pPr>
        <w:ind w:firstLine="640" w:firstLineChars="200"/>
        <w:rPr>
          <w:rFonts w:ascii="仿宋_GB2312" w:hAnsi="黑体" w:eastAsia="仿宋_GB2312"/>
          <w:sz w:val="32"/>
          <w:szCs w:val="32"/>
        </w:rPr>
      </w:pPr>
      <w:bookmarkStart w:id="0" w:name="_GoBack"/>
      <w:bookmarkEnd w:id="0"/>
    </w:p>
    <w:p>
      <w:pPr>
        <w:ind w:firstLine="640" w:firstLineChars="200"/>
        <w:rPr>
          <w:rFonts w:ascii="仿宋_GB2312" w:hAnsi="黑体" w:eastAsia="仿宋_GB2312"/>
          <w:sz w:val="32"/>
          <w:szCs w:val="32"/>
        </w:rPr>
      </w:pPr>
    </w:p>
    <w:p>
      <w:pPr>
        <w:rPr>
          <w:rFonts w:ascii="仿宋_GB2312" w:hAnsi="黑体" w:eastAsia="仿宋_GB2312"/>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18CD2F-0CFC-4F82-90FF-E911AF04BF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1212EE3-803F-4593-8A68-93DA1E89B235}"/>
  </w:font>
  <w:font w:name="仿宋_GB2312">
    <w:panose1 w:val="02010609030101010101"/>
    <w:charset w:val="86"/>
    <w:family w:val="modern"/>
    <w:pitch w:val="default"/>
    <w:sig w:usb0="00000001" w:usb1="080E0000" w:usb2="00000000" w:usb3="00000000" w:csb0="00040000" w:csb1="00000000"/>
    <w:embedRegular r:id="rId3" w:fontKey="{D29D977C-6375-470A-8228-724DCF7307B0}"/>
  </w:font>
  <w:font w:name="方正小标宋_GBK">
    <w:panose1 w:val="02000000000000000000"/>
    <w:charset w:val="86"/>
    <w:family w:val="script"/>
    <w:pitch w:val="default"/>
    <w:sig w:usb0="A00002BF" w:usb1="38CF7CFA" w:usb2="00082016" w:usb3="00000000" w:csb0="00040001" w:csb1="00000000"/>
    <w:embedRegular r:id="rId4" w:fontKey="{436D1AFC-78C1-40E0-BC22-A468CA501ED0}"/>
  </w:font>
  <w:font w:name="仿宋">
    <w:panose1 w:val="02010609060101010101"/>
    <w:charset w:val="86"/>
    <w:family w:val="modern"/>
    <w:pitch w:val="default"/>
    <w:sig w:usb0="800002BF" w:usb1="38CF7CFA" w:usb2="00000016" w:usb3="00000000" w:csb0="00040001" w:csb1="00000000"/>
    <w:embedRegular r:id="rId5" w:fontKey="{738B5154-C85F-4E7C-AABC-AE696657F288}"/>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10" w:usb3="00000000" w:csb0="0004009F" w:csb1="00000000"/>
    <w:embedRegular r:id="rId6" w:fontKey="{5A6D2C68-AEDF-4568-8B07-CDEF88B11F78}"/>
  </w:font>
  <w:font w:name="楷体_GB2312">
    <w:altName w:val="楷体"/>
    <w:panose1 w:val="02010609030101010101"/>
    <w:charset w:val="00"/>
    <w:family w:val="modern"/>
    <w:pitch w:val="default"/>
    <w:sig w:usb0="00000000" w:usb1="00000000" w:usb2="00000010" w:usb3="00000000" w:csb0="00040000" w:csb1="00000000"/>
    <w:embedRegular r:id="rId7" w:fontKey="{7BE534AD-5E1F-437F-A6C3-E47F9BFCFA3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4</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1YzVmMjNlODVhOTQzOWNjN2E2MTljM2ZhNzUzM2MifQ=="/>
  </w:docVars>
  <w:rsids>
    <w:rsidRoot w:val="003074F1"/>
    <w:rsid w:val="00003128"/>
    <w:rsid w:val="00006F23"/>
    <w:rsid w:val="00010357"/>
    <w:rsid w:val="000117F6"/>
    <w:rsid w:val="00012B43"/>
    <w:rsid w:val="00015B8A"/>
    <w:rsid w:val="00017A5E"/>
    <w:rsid w:val="0002064B"/>
    <w:rsid w:val="000216F6"/>
    <w:rsid w:val="00030A18"/>
    <w:rsid w:val="00035DFE"/>
    <w:rsid w:val="00043D6E"/>
    <w:rsid w:val="00046E7E"/>
    <w:rsid w:val="00060830"/>
    <w:rsid w:val="000719B5"/>
    <w:rsid w:val="00071B79"/>
    <w:rsid w:val="000846D5"/>
    <w:rsid w:val="000944C4"/>
    <w:rsid w:val="000C5940"/>
    <w:rsid w:val="000D4388"/>
    <w:rsid w:val="000F22CD"/>
    <w:rsid w:val="000F3E72"/>
    <w:rsid w:val="000F798E"/>
    <w:rsid w:val="001039AE"/>
    <w:rsid w:val="00105776"/>
    <w:rsid w:val="00107647"/>
    <w:rsid w:val="00121611"/>
    <w:rsid w:val="001233F7"/>
    <w:rsid w:val="00134099"/>
    <w:rsid w:val="00135151"/>
    <w:rsid w:val="00145A83"/>
    <w:rsid w:val="0014615E"/>
    <w:rsid w:val="00153A62"/>
    <w:rsid w:val="00153FB9"/>
    <w:rsid w:val="001624A2"/>
    <w:rsid w:val="001625E1"/>
    <w:rsid w:val="0016521F"/>
    <w:rsid w:val="00166578"/>
    <w:rsid w:val="0016696B"/>
    <w:rsid w:val="001811C7"/>
    <w:rsid w:val="0018483C"/>
    <w:rsid w:val="0019450D"/>
    <w:rsid w:val="001A087F"/>
    <w:rsid w:val="001A0E3E"/>
    <w:rsid w:val="001A179A"/>
    <w:rsid w:val="001A77C8"/>
    <w:rsid w:val="001C1C13"/>
    <w:rsid w:val="001C1F3F"/>
    <w:rsid w:val="001C43D7"/>
    <w:rsid w:val="001D3655"/>
    <w:rsid w:val="001E437F"/>
    <w:rsid w:val="001E6FF0"/>
    <w:rsid w:val="001F67D6"/>
    <w:rsid w:val="00201CF7"/>
    <w:rsid w:val="00206D4D"/>
    <w:rsid w:val="00217E32"/>
    <w:rsid w:val="00225C18"/>
    <w:rsid w:val="002336AA"/>
    <w:rsid w:val="00236544"/>
    <w:rsid w:val="002456E8"/>
    <w:rsid w:val="002528AF"/>
    <w:rsid w:val="00264071"/>
    <w:rsid w:val="00264635"/>
    <w:rsid w:val="00265907"/>
    <w:rsid w:val="002667C9"/>
    <w:rsid w:val="0027087D"/>
    <w:rsid w:val="00270AB3"/>
    <w:rsid w:val="00274621"/>
    <w:rsid w:val="00274B47"/>
    <w:rsid w:val="00282FE5"/>
    <w:rsid w:val="00285ED6"/>
    <w:rsid w:val="002B4401"/>
    <w:rsid w:val="002D0A13"/>
    <w:rsid w:val="002D33A8"/>
    <w:rsid w:val="002D7DB4"/>
    <w:rsid w:val="002F06B5"/>
    <w:rsid w:val="002F3628"/>
    <w:rsid w:val="003063A3"/>
    <w:rsid w:val="003074F1"/>
    <w:rsid w:val="00310CED"/>
    <w:rsid w:val="0031386B"/>
    <w:rsid w:val="00326E9F"/>
    <w:rsid w:val="00327A91"/>
    <w:rsid w:val="003344D1"/>
    <w:rsid w:val="0034044A"/>
    <w:rsid w:val="00340EE6"/>
    <w:rsid w:val="00351EF1"/>
    <w:rsid w:val="0035650C"/>
    <w:rsid w:val="003638C0"/>
    <w:rsid w:val="0036573C"/>
    <w:rsid w:val="0037121B"/>
    <w:rsid w:val="003729B8"/>
    <w:rsid w:val="00386541"/>
    <w:rsid w:val="003A2114"/>
    <w:rsid w:val="003A3163"/>
    <w:rsid w:val="003B29BC"/>
    <w:rsid w:val="003C0BC3"/>
    <w:rsid w:val="003F0D02"/>
    <w:rsid w:val="00433C41"/>
    <w:rsid w:val="004344F6"/>
    <w:rsid w:val="00435F43"/>
    <w:rsid w:val="00441FD7"/>
    <w:rsid w:val="00446C37"/>
    <w:rsid w:val="0045076A"/>
    <w:rsid w:val="00452E31"/>
    <w:rsid w:val="00455EE9"/>
    <w:rsid w:val="0046172B"/>
    <w:rsid w:val="00461F5E"/>
    <w:rsid w:val="004628FE"/>
    <w:rsid w:val="00462C07"/>
    <w:rsid w:val="00473A94"/>
    <w:rsid w:val="0049342E"/>
    <w:rsid w:val="00496D1E"/>
    <w:rsid w:val="004B6006"/>
    <w:rsid w:val="004C7A73"/>
    <w:rsid w:val="004C7B5A"/>
    <w:rsid w:val="004D4DFA"/>
    <w:rsid w:val="004D7632"/>
    <w:rsid w:val="004F03DB"/>
    <w:rsid w:val="004F0755"/>
    <w:rsid w:val="004F7FE6"/>
    <w:rsid w:val="0050106A"/>
    <w:rsid w:val="00514A6A"/>
    <w:rsid w:val="005169BF"/>
    <w:rsid w:val="00517895"/>
    <w:rsid w:val="00523233"/>
    <w:rsid w:val="00533143"/>
    <w:rsid w:val="00534B40"/>
    <w:rsid w:val="00536460"/>
    <w:rsid w:val="005428AE"/>
    <w:rsid w:val="00551395"/>
    <w:rsid w:val="005758D9"/>
    <w:rsid w:val="005776E1"/>
    <w:rsid w:val="0058355A"/>
    <w:rsid w:val="00593EB6"/>
    <w:rsid w:val="00595F77"/>
    <w:rsid w:val="005F5438"/>
    <w:rsid w:val="00600F0C"/>
    <w:rsid w:val="00610A94"/>
    <w:rsid w:val="00612CFA"/>
    <w:rsid w:val="00623B8B"/>
    <w:rsid w:val="00625535"/>
    <w:rsid w:val="00625B4F"/>
    <w:rsid w:val="006313AB"/>
    <w:rsid w:val="00641FC5"/>
    <w:rsid w:val="0065080F"/>
    <w:rsid w:val="00650EAD"/>
    <w:rsid w:val="00652C31"/>
    <w:rsid w:val="00677B1A"/>
    <w:rsid w:val="006812C0"/>
    <w:rsid w:val="00682B50"/>
    <w:rsid w:val="006A1F2B"/>
    <w:rsid w:val="006B3F07"/>
    <w:rsid w:val="006B5B96"/>
    <w:rsid w:val="006D2BE8"/>
    <w:rsid w:val="006D7049"/>
    <w:rsid w:val="006E08E7"/>
    <w:rsid w:val="006F2974"/>
    <w:rsid w:val="006F38BF"/>
    <w:rsid w:val="006F4F55"/>
    <w:rsid w:val="00710C1A"/>
    <w:rsid w:val="007146D0"/>
    <w:rsid w:val="00725BB3"/>
    <w:rsid w:val="00732739"/>
    <w:rsid w:val="00735780"/>
    <w:rsid w:val="007572AD"/>
    <w:rsid w:val="00764B49"/>
    <w:rsid w:val="00771B3D"/>
    <w:rsid w:val="00772F6A"/>
    <w:rsid w:val="00783527"/>
    <w:rsid w:val="00783675"/>
    <w:rsid w:val="007D0382"/>
    <w:rsid w:val="007E2B92"/>
    <w:rsid w:val="007F010A"/>
    <w:rsid w:val="007F5D9C"/>
    <w:rsid w:val="00800CE3"/>
    <w:rsid w:val="00801860"/>
    <w:rsid w:val="008053D2"/>
    <w:rsid w:val="008104FB"/>
    <w:rsid w:val="0081255C"/>
    <w:rsid w:val="00813995"/>
    <w:rsid w:val="008169D9"/>
    <w:rsid w:val="00817D87"/>
    <w:rsid w:val="00825D20"/>
    <w:rsid w:val="0083618F"/>
    <w:rsid w:val="0085535B"/>
    <w:rsid w:val="00855ECF"/>
    <w:rsid w:val="00857ECE"/>
    <w:rsid w:val="008611CC"/>
    <w:rsid w:val="00861ACD"/>
    <w:rsid w:val="00871326"/>
    <w:rsid w:val="0087197F"/>
    <w:rsid w:val="0087212B"/>
    <w:rsid w:val="008764E6"/>
    <w:rsid w:val="0088155C"/>
    <w:rsid w:val="0088342D"/>
    <w:rsid w:val="00884AE6"/>
    <w:rsid w:val="008A2C88"/>
    <w:rsid w:val="008B047F"/>
    <w:rsid w:val="008B1ABD"/>
    <w:rsid w:val="008C3E05"/>
    <w:rsid w:val="008C7FC5"/>
    <w:rsid w:val="008D2ED8"/>
    <w:rsid w:val="008D5A29"/>
    <w:rsid w:val="008D6010"/>
    <w:rsid w:val="008E1317"/>
    <w:rsid w:val="008E65A9"/>
    <w:rsid w:val="008F4673"/>
    <w:rsid w:val="009012C3"/>
    <w:rsid w:val="009028C6"/>
    <w:rsid w:val="009064F2"/>
    <w:rsid w:val="00910735"/>
    <w:rsid w:val="00916647"/>
    <w:rsid w:val="009215AC"/>
    <w:rsid w:val="00927BD8"/>
    <w:rsid w:val="00931D32"/>
    <w:rsid w:val="00931E75"/>
    <w:rsid w:val="00934052"/>
    <w:rsid w:val="00935A1D"/>
    <w:rsid w:val="00936B61"/>
    <w:rsid w:val="0094111C"/>
    <w:rsid w:val="00951742"/>
    <w:rsid w:val="009547D3"/>
    <w:rsid w:val="009601DC"/>
    <w:rsid w:val="009618D1"/>
    <w:rsid w:val="00963943"/>
    <w:rsid w:val="00970DF3"/>
    <w:rsid w:val="00975469"/>
    <w:rsid w:val="0098027D"/>
    <w:rsid w:val="00992FD1"/>
    <w:rsid w:val="00995947"/>
    <w:rsid w:val="009A1E0E"/>
    <w:rsid w:val="009A5BE8"/>
    <w:rsid w:val="009B598A"/>
    <w:rsid w:val="009B667D"/>
    <w:rsid w:val="009D6CCB"/>
    <w:rsid w:val="009D7C86"/>
    <w:rsid w:val="009E2AAC"/>
    <w:rsid w:val="009E2FAB"/>
    <w:rsid w:val="009F3B92"/>
    <w:rsid w:val="00A142AC"/>
    <w:rsid w:val="00A144D5"/>
    <w:rsid w:val="00A16956"/>
    <w:rsid w:val="00A16AC2"/>
    <w:rsid w:val="00A30FD0"/>
    <w:rsid w:val="00A35635"/>
    <w:rsid w:val="00A35ED3"/>
    <w:rsid w:val="00A4323F"/>
    <w:rsid w:val="00A64A85"/>
    <w:rsid w:val="00A731A9"/>
    <w:rsid w:val="00A7575A"/>
    <w:rsid w:val="00A831B8"/>
    <w:rsid w:val="00A903B4"/>
    <w:rsid w:val="00AA0D1A"/>
    <w:rsid w:val="00AA408E"/>
    <w:rsid w:val="00AD08BD"/>
    <w:rsid w:val="00AD45DA"/>
    <w:rsid w:val="00AD6200"/>
    <w:rsid w:val="00AE37AF"/>
    <w:rsid w:val="00AE5CD2"/>
    <w:rsid w:val="00AF6DAA"/>
    <w:rsid w:val="00B01AAB"/>
    <w:rsid w:val="00B02024"/>
    <w:rsid w:val="00B13EC6"/>
    <w:rsid w:val="00B20E6D"/>
    <w:rsid w:val="00B53A32"/>
    <w:rsid w:val="00B61FD3"/>
    <w:rsid w:val="00B97CD4"/>
    <w:rsid w:val="00BA6B1B"/>
    <w:rsid w:val="00BC2B15"/>
    <w:rsid w:val="00BC3ABD"/>
    <w:rsid w:val="00BD54D8"/>
    <w:rsid w:val="00BE37C1"/>
    <w:rsid w:val="00C13720"/>
    <w:rsid w:val="00C16019"/>
    <w:rsid w:val="00C17C94"/>
    <w:rsid w:val="00C203BF"/>
    <w:rsid w:val="00C31570"/>
    <w:rsid w:val="00C35C9A"/>
    <w:rsid w:val="00C40611"/>
    <w:rsid w:val="00C47AA1"/>
    <w:rsid w:val="00C600F2"/>
    <w:rsid w:val="00C61651"/>
    <w:rsid w:val="00C624D7"/>
    <w:rsid w:val="00C63D5E"/>
    <w:rsid w:val="00C714DE"/>
    <w:rsid w:val="00C92DAA"/>
    <w:rsid w:val="00C9339D"/>
    <w:rsid w:val="00C9752F"/>
    <w:rsid w:val="00CB08C4"/>
    <w:rsid w:val="00CB4C74"/>
    <w:rsid w:val="00CB5780"/>
    <w:rsid w:val="00CC210F"/>
    <w:rsid w:val="00CC4037"/>
    <w:rsid w:val="00CC61BF"/>
    <w:rsid w:val="00CD1648"/>
    <w:rsid w:val="00CD67C5"/>
    <w:rsid w:val="00CD6BBF"/>
    <w:rsid w:val="00CE4B24"/>
    <w:rsid w:val="00CF185C"/>
    <w:rsid w:val="00CF26CE"/>
    <w:rsid w:val="00D104AB"/>
    <w:rsid w:val="00D12486"/>
    <w:rsid w:val="00D23861"/>
    <w:rsid w:val="00D306FA"/>
    <w:rsid w:val="00D42C64"/>
    <w:rsid w:val="00D4334F"/>
    <w:rsid w:val="00D51DF7"/>
    <w:rsid w:val="00D550BC"/>
    <w:rsid w:val="00D60982"/>
    <w:rsid w:val="00D63DAB"/>
    <w:rsid w:val="00D707C0"/>
    <w:rsid w:val="00D8083B"/>
    <w:rsid w:val="00D836EB"/>
    <w:rsid w:val="00D937E8"/>
    <w:rsid w:val="00DA7EE5"/>
    <w:rsid w:val="00DB58C7"/>
    <w:rsid w:val="00DC266F"/>
    <w:rsid w:val="00DC411D"/>
    <w:rsid w:val="00DC6CAF"/>
    <w:rsid w:val="00DD4F10"/>
    <w:rsid w:val="00DD7C25"/>
    <w:rsid w:val="00DE2BBE"/>
    <w:rsid w:val="00DE51C3"/>
    <w:rsid w:val="00DF06ED"/>
    <w:rsid w:val="00DF3076"/>
    <w:rsid w:val="00DF7E81"/>
    <w:rsid w:val="00E11171"/>
    <w:rsid w:val="00E13558"/>
    <w:rsid w:val="00E22460"/>
    <w:rsid w:val="00E37DC7"/>
    <w:rsid w:val="00E47D24"/>
    <w:rsid w:val="00E65C4B"/>
    <w:rsid w:val="00E666BF"/>
    <w:rsid w:val="00E72057"/>
    <w:rsid w:val="00E754B0"/>
    <w:rsid w:val="00E7593B"/>
    <w:rsid w:val="00E80248"/>
    <w:rsid w:val="00E8181A"/>
    <w:rsid w:val="00E83472"/>
    <w:rsid w:val="00E909A8"/>
    <w:rsid w:val="00E918AC"/>
    <w:rsid w:val="00E9316C"/>
    <w:rsid w:val="00E95929"/>
    <w:rsid w:val="00E95DC5"/>
    <w:rsid w:val="00EA2D63"/>
    <w:rsid w:val="00EA574A"/>
    <w:rsid w:val="00EB043C"/>
    <w:rsid w:val="00EB2CEF"/>
    <w:rsid w:val="00EC31D9"/>
    <w:rsid w:val="00EC3454"/>
    <w:rsid w:val="00ED07FA"/>
    <w:rsid w:val="00ED1A38"/>
    <w:rsid w:val="00ED3B0F"/>
    <w:rsid w:val="00EE1E5E"/>
    <w:rsid w:val="00F02619"/>
    <w:rsid w:val="00F10D5C"/>
    <w:rsid w:val="00F12ADB"/>
    <w:rsid w:val="00F17DF6"/>
    <w:rsid w:val="00F26134"/>
    <w:rsid w:val="00F33A48"/>
    <w:rsid w:val="00F478EF"/>
    <w:rsid w:val="00F543B2"/>
    <w:rsid w:val="00F54B8E"/>
    <w:rsid w:val="00F66175"/>
    <w:rsid w:val="00F744F2"/>
    <w:rsid w:val="00F857CA"/>
    <w:rsid w:val="00FA7B0E"/>
    <w:rsid w:val="00FB5D34"/>
    <w:rsid w:val="00FC66F8"/>
    <w:rsid w:val="00FD2233"/>
    <w:rsid w:val="00FE1C85"/>
    <w:rsid w:val="22CC4D1A"/>
    <w:rsid w:val="26FD06A3"/>
    <w:rsid w:val="3E877839"/>
    <w:rsid w:val="53F3EE88"/>
    <w:rsid w:val="5FFF2CBF"/>
    <w:rsid w:val="6FAE544D"/>
    <w:rsid w:val="73B7D68B"/>
    <w:rsid w:val="76F95855"/>
    <w:rsid w:val="779D6032"/>
    <w:rsid w:val="7DDFCB37"/>
    <w:rsid w:val="7EE770ED"/>
    <w:rsid w:val="7EED09F9"/>
    <w:rsid w:val="7FEF8A8D"/>
    <w:rsid w:val="9F5A3174"/>
    <w:rsid w:val="9FF0D0BD"/>
    <w:rsid w:val="B77FB6A1"/>
    <w:rsid w:val="B7FC9B75"/>
    <w:rsid w:val="BF757FFC"/>
    <w:rsid w:val="D35C0701"/>
    <w:rsid w:val="E77F89F5"/>
    <w:rsid w:val="EF92ED84"/>
    <w:rsid w:val="EFDF65F2"/>
    <w:rsid w:val="F5BBEF3C"/>
    <w:rsid w:val="FBFBA436"/>
    <w:rsid w:val="FBFFB5A6"/>
    <w:rsid w:val="FCEB9275"/>
    <w:rsid w:val="FF8399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unhideWhenUsed="0" w:uiPriority="0" w:name="header"/>
    <w:lsdException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alloon Text"/>
    <w:basedOn w:val="1"/>
    <w:link w:val="9"/>
    <w:semiHidden/>
    <w:qFormat/>
    <w:uiPriority w:val="0"/>
    <w:rPr>
      <w:sz w:val="18"/>
      <w:szCs w:val="18"/>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11"/>
    <w:semiHidden/>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iPriority w:val="0"/>
    <w:pPr>
      <w:widowControl/>
      <w:spacing w:before="100" w:beforeAutospacing="1" w:after="100" w:afterAutospacing="1"/>
      <w:jc w:val="left"/>
    </w:pPr>
    <w:rPr>
      <w:rFonts w:ascii="宋体" w:hAnsi="宋体" w:cs="宋体"/>
      <w:kern w:val="0"/>
      <w:sz w:val="24"/>
      <w:szCs w:val="24"/>
    </w:rPr>
  </w:style>
  <w:style w:type="table" w:styleId="7">
    <w:name w:val="Table Grid"/>
    <w:basedOn w:val="6"/>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 Char Char2"/>
    <w:basedOn w:val="8"/>
    <w:link w:val="2"/>
    <w:semiHidden/>
    <w:locked/>
    <w:uiPriority w:val="0"/>
    <w:rPr>
      <w:rFonts w:cs="Times New Roman"/>
      <w:sz w:val="18"/>
      <w:szCs w:val="18"/>
    </w:rPr>
  </w:style>
  <w:style w:type="character" w:customStyle="1" w:styleId="10">
    <w:name w:val=" Char Char1"/>
    <w:basedOn w:val="8"/>
    <w:link w:val="3"/>
    <w:qFormat/>
    <w:locked/>
    <w:uiPriority w:val="0"/>
    <w:rPr>
      <w:rFonts w:cs="Times New Roman"/>
      <w:sz w:val="18"/>
      <w:szCs w:val="18"/>
    </w:rPr>
  </w:style>
  <w:style w:type="character" w:customStyle="1" w:styleId="11">
    <w:name w:val=" Char Char"/>
    <w:basedOn w:val="8"/>
    <w:link w:val="4"/>
    <w:semiHidden/>
    <w:locked/>
    <w:uiPriority w:val="0"/>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1544</Words>
  <Characters>1623</Characters>
  <Lines>13</Lines>
  <Paragraphs>3</Paragraphs>
  <TotalTime>9</TotalTime>
  <ScaleCrop>false</ScaleCrop>
  <LinksUpToDate>false</LinksUpToDate>
  <CharactersWithSpaces>1680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2022-01-20T01:14:00Z</dcterms:created>
  <dc:creator>女青</dc:creator>
  <cp:lastModifiedBy>悟</cp:lastModifiedBy>
  <dcterms:modified xsi:type="dcterms:W3CDTF">2023-01-29T06:01:59Z</dcterms:modified>
  <dc:title>民航局关于印发2021年航班正常考核指标和调控措施的通知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3376645504404083BAC8836C23D3E2FE</vt:lpwstr>
  </property>
</Properties>
</file>