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8A8F" w14:textId="77777777" w:rsidR="00B36661" w:rsidRPr="0064719E" w:rsidRDefault="003D72F2">
      <w:pPr>
        <w:jc w:val="center"/>
        <w:rPr>
          <w:rFonts w:ascii="方正小标宋简体" w:eastAsia="方正小标宋简体" w:hAnsi="仿宋"/>
          <w:color w:val="000000"/>
          <w:sz w:val="36"/>
        </w:rPr>
      </w:pPr>
      <w:r w:rsidRPr="0064719E">
        <w:rPr>
          <w:rFonts w:ascii="方正小标宋简体" w:eastAsia="方正小标宋简体" w:hAnsi="仿宋" w:hint="eastAsia"/>
          <w:color w:val="000000"/>
          <w:sz w:val="36"/>
        </w:rPr>
        <w:t>颁发专用条件征求意见稿</w:t>
      </w:r>
    </w:p>
    <w:p w14:paraId="68404DD6" w14:textId="77777777" w:rsidR="00B36661" w:rsidRPr="00DA35D2" w:rsidRDefault="003D72F2" w:rsidP="009C7202">
      <w:pPr>
        <w:pStyle w:val="Default"/>
        <w:spacing w:line="360" w:lineRule="auto"/>
        <w:jc w:val="both"/>
        <w:rPr>
          <w:sz w:val="28"/>
          <w:szCs w:val="28"/>
        </w:rPr>
      </w:pPr>
      <w:r w:rsidRPr="00DA35D2">
        <w:rPr>
          <w:rFonts w:hint="eastAsia"/>
          <w:sz w:val="28"/>
          <w:szCs w:val="28"/>
        </w:rPr>
        <w:t>主题：</w:t>
      </w:r>
      <w:r w:rsidRPr="00DA35D2">
        <w:rPr>
          <w:rFonts w:hAnsi="Times New Roman" w:cs="Times New Roman" w:hint="eastAsia"/>
          <w:sz w:val="28"/>
          <w:szCs w:val="28"/>
        </w:rPr>
        <w:t>RX4E</w:t>
      </w:r>
      <w:r w:rsidRPr="00DA35D2">
        <w:rPr>
          <w:rFonts w:hint="eastAsia"/>
          <w:sz w:val="28"/>
          <w:szCs w:val="28"/>
        </w:rPr>
        <w:t>型飞机电推进系统（</w:t>
      </w:r>
      <w:r w:rsidRPr="00DA35D2">
        <w:rPr>
          <w:rFonts w:hAnsi="Times New Roman" w:cs="Times New Roman" w:hint="eastAsia"/>
          <w:sz w:val="28"/>
          <w:szCs w:val="28"/>
        </w:rPr>
        <w:t>EPU</w:t>
      </w:r>
      <w:r w:rsidRPr="00DA35D2">
        <w:rPr>
          <w:rFonts w:hint="eastAsia"/>
          <w:sz w:val="28"/>
          <w:szCs w:val="28"/>
        </w:rPr>
        <w:t>）</w:t>
      </w:r>
    </w:p>
    <w:p w14:paraId="05F70C4C" w14:textId="1FF4B63A" w:rsidR="00B36661" w:rsidRPr="00DA35D2" w:rsidRDefault="003D72F2" w:rsidP="009C7202">
      <w:pPr>
        <w:pStyle w:val="Default"/>
        <w:spacing w:line="360" w:lineRule="auto"/>
        <w:jc w:val="both"/>
        <w:rPr>
          <w:sz w:val="28"/>
          <w:szCs w:val="28"/>
        </w:rPr>
      </w:pPr>
      <w:r w:rsidRPr="00DA35D2">
        <w:rPr>
          <w:rFonts w:hint="eastAsia"/>
          <w:sz w:val="28"/>
          <w:szCs w:val="28"/>
        </w:rPr>
        <w:t>编号：</w:t>
      </w:r>
      <w:r w:rsidR="00166134" w:rsidRPr="00166134">
        <w:rPr>
          <w:sz w:val="28"/>
          <w:szCs w:val="28"/>
        </w:rPr>
        <w:t>PSC-2</w:t>
      </w:r>
      <w:r w:rsidR="00165FBB">
        <w:rPr>
          <w:sz w:val="28"/>
          <w:szCs w:val="28"/>
        </w:rPr>
        <w:t>3</w:t>
      </w:r>
      <w:r w:rsidR="00166134" w:rsidRPr="00166134">
        <w:rPr>
          <w:sz w:val="28"/>
          <w:szCs w:val="28"/>
        </w:rPr>
        <w:t>-</w:t>
      </w:r>
      <w:r w:rsidR="00165FBB">
        <w:rPr>
          <w:sz w:val="28"/>
          <w:szCs w:val="28"/>
        </w:rPr>
        <w:t>14</w:t>
      </w:r>
    </w:p>
    <w:p w14:paraId="719F7541" w14:textId="38C6CBEF" w:rsidR="00B36661" w:rsidRPr="00DA35D2" w:rsidRDefault="003D72F2" w:rsidP="009C7202">
      <w:pPr>
        <w:pStyle w:val="Default"/>
        <w:spacing w:line="360" w:lineRule="auto"/>
        <w:jc w:val="both"/>
        <w:rPr>
          <w:sz w:val="28"/>
          <w:szCs w:val="28"/>
        </w:rPr>
      </w:pPr>
      <w:r w:rsidRPr="00DA35D2">
        <w:rPr>
          <w:rFonts w:hint="eastAsia"/>
          <w:sz w:val="28"/>
          <w:szCs w:val="28"/>
        </w:rPr>
        <w:t>反馈意见截止期：</w:t>
      </w:r>
      <w:r w:rsidR="009C7202" w:rsidRPr="009C7202">
        <w:rPr>
          <w:rFonts w:hint="eastAsia"/>
          <w:sz w:val="28"/>
          <w:szCs w:val="28"/>
        </w:rPr>
        <w:t>自通知颁发的</w:t>
      </w:r>
      <w:r w:rsidR="009C7202" w:rsidRPr="009C7202">
        <w:rPr>
          <w:sz w:val="28"/>
          <w:szCs w:val="28"/>
        </w:rPr>
        <w:t>15个工作日</w:t>
      </w:r>
    </w:p>
    <w:p w14:paraId="5DCC0915" w14:textId="77777777" w:rsidR="009C7202" w:rsidRDefault="009C7202" w:rsidP="009C7202">
      <w:pPr>
        <w:pStyle w:val="Default"/>
        <w:spacing w:line="360" w:lineRule="auto"/>
        <w:jc w:val="both"/>
        <w:rPr>
          <w:b/>
          <w:sz w:val="28"/>
          <w:szCs w:val="28"/>
        </w:rPr>
      </w:pPr>
    </w:p>
    <w:p w14:paraId="0D6240EB" w14:textId="49CD2332" w:rsidR="00B36661" w:rsidRPr="00DA35D2" w:rsidRDefault="003D72F2">
      <w:pPr>
        <w:pStyle w:val="Default"/>
        <w:numPr>
          <w:ilvl w:val="0"/>
          <w:numId w:val="1"/>
        </w:numPr>
        <w:spacing w:line="360" w:lineRule="auto"/>
        <w:jc w:val="both"/>
        <w:rPr>
          <w:b/>
          <w:sz w:val="28"/>
          <w:szCs w:val="28"/>
        </w:rPr>
      </w:pPr>
      <w:r w:rsidRPr="00DA35D2">
        <w:rPr>
          <w:rFonts w:hint="eastAsia"/>
          <w:b/>
          <w:sz w:val="28"/>
          <w:szCs w:val="28"/>
        </w:rPr>
        <w:t>概述</w:t>
      </w:r>
    </w:p>
    <w:p w14:paraId="0D61260E" w14:textId="77777777" w:rsidR="00B36661" w:rsidRPr="00DA35D2" w:rsidRDefault="003D72F2">
      <w:pPr>
        <w:pStyle w:val="Default"/>
        <w:spacing w:line="360" w:lineRule="auto"/>
        <w:ind w:firstLineChars="200" w:firstLine="560"/>
        <w:rPr>
          <w:sz w:val="28"/>
          <w:szCs w:val="28"/>
        </w:rPr>
      </w:pPr>
      <w:r w:rsidRPr="00DA35D2">
        <w:rPr>
          <w:rFonts w:hint="eastAsia"/>
          <w:sz w:val="28"/>
          <w:szCs w:val="28"/>
        </w:rPr>
        <w:t>本文用于征求公众对</w:t>
      </w:r>
      <w:r w:rsidRPr="00DA35D2">
        <w:rPr>
          <w:rFonts w:hAnsi="Times New Roman" w:cs="Times New Roman" w:hint="eastAsia"/>
          <w:sz w:val="28"/>
          <w:szCs w:val="28"/>
        </w:rPr>
        <w:t>RX4E</w:t>
      </w:r>
      <w:r w:rsidRPr="00DA35D2">
        <w:rPr>
          <w:rFonts w:hint="eastAsia"/>
          <w:sz w:val="28"/>
          <w:szCs w:val="28"/>
        </w:rPr>
        <w:t>型飞机电推进系统（</w:t>
      </w:r>
      <w:r w:rsidRPr="00DA35D2">
        <w:rPr>
          <w:rFonts w:hAnsi="Times New Roman" w:cs="Times New Roman" w:hint="eastAsia"/>
          <w:sz w:val="28"/>
          <w:szCs w:val="28"/>
        </w:rPr>
        <w:t>EPU</w:t>
      </w:r>
      <w:r w:rsidRPr="00DA35D2">
        <w:rPr>
          <w:rFonts w:hint="eastAsia"/>
          <w:sz w:val="28"/>
          <w:szCs w:val="28"/>
        </w:rPr>
        <w:t>）专用条件的意见。</w:t>
      </w:r>
    </w:p>
    <w:p w14:paraId="62FDA0C7" w14:textId="77777777" w:rsidR="00B36661" w:rsidRPr="00DA35D2" w:rsidRDefault="003D72F2">
      <w:pPr>
        <w:pStyle w:val="Default"/>
        <w:numPr>
          <w:ilvl w:val="0"/>
          <w:numId w:val="1"/>
        </w:numPr>
        <w:spacing w:line="360" w:lineRule="auto"/>
        <w:jc w:val="both"/>
        <w:rPr>
          <w:b/>
          <w:sz w:val="28"/>
          <w:szCs w:val="28"/>
        </w:rPr>
      </w:pPr>
      <w:r w:rsidRPr="00DA35D2">
        <w:rPr>
          <w:rFonts w:hint="eastAsia"/>
          <w:b/>
          <w:sz w:val="28"/>
          <w:szCs w:val="28"/>
        </w:rPr>
        <w:t>背景</w:t>
      </w:r>
    </w:p>
    <w:p w14:paraId="370DED40" w14:textId="77777777" w:rsidR="00B36661" w:rsidRPr="00DA35D2" w:rsidRDefault="003D72F2">
      <w:pPr>
        <w:pStyle w:val="Default"/>
        <w:spacing w:line="360" w:lineRule="auto"/>
        <w:ind w:firstLineChars="200" w:firstLine="560"/>
        <w:jc w:val="both"/>
        <w:rPr>
          <w:sz w:val="28"/>
          <w:szCs w:val="28"/>
        </w:rPr>
      </w:pPr>
      <w:r w:rsidRPr="00DA35D2">
        <w:rPr>
          <w:rFonts w:hAnsi="Times New Roman" w:cs="Times New Roman" w:hint="eastAsia"/>
          <w:sz w:val="28"/>
          <w:szCs w:val="28"/>
        </w:rPr>
        <w:t>RX4E</w:t>
      </w:r>
      <w:r w:rsidRPr="00DA35D2">
        <w:rPr>
          <w:rFonts w:hint="eastAsia"/>
          <w:sz w:val="28"/>
          <w:szCs w:val="28"/>
        </w:rPr>
        <w:t>型飞机是辽宁通用航空研究院研制的单发四座全复合材料电动飞机，采用昼间目视飞行规则，配置了综合式航空电子系统、电气系统和电推进系统。</w:t>
      </w:r>
    </w:p>
    <w:p w14:paraId="2C538CDD" w14:textId="403FC09E" w:rsidR="00B36661" w:rsidRPr="00DA35D2" w:rsidRDefault="003D72F2">
      <w:pPr>
        <w:pStyle w:val="Default"/>
        <w:spacing w:line="360" w:lineRule="auto"/>
        <w:ind w:firstLineChars="200" w:firstLine="560"/>
        <w:jc w:val="both"/>
        <w:rPr>
          <w:sz w:val="28"/>
          <w:szCs w:val="28"/>
        </w:rPr>
      </w:pPr>
      <w:r w:rsidRPr="00DA35D2">
        <w:rPr>
          <w:rFonts w:hAnsi="Times New Roman" w:cs="Times New Roman" w:hint="eastAsia"/>
          <w:sz w:val="28"/>
          <w:szCs w:val="28"/>
        </w:rPr>
        <w:t>RX4E</w:t>
      </w:r>
      <w:r w:rsidRPr="00DA35D2">
        <w:rPr>
          <w:rFonts w:hint="eastAsia"/>
          <w:sz w:val="28"/>
          <w:szCs w:val="28"/>
        </w:rPr>
        <w:t>型飞机所使用的电推进系统（</w:t>
      </w:r>
      <w:r w:rsidRPr="00DA35D2">
        <w:rPr>
          <w:rFonts w:hAnsi="Times New Roman" w:cs="Times New Roman" w:hint="eastAsia"/>
          <w:sz w:val="28"/>
          <w:szCs w:val="28"/>
        </w:rPr>
        <w:t>EPU</w:t>
      </w:r>
      <w:r w:rsidRPr="00DA35D2">
        <w:rPr>
          <w:rFonts w:hint="eastAsia"/>
          <w:sz w:val="28"/>
          <w:szCs w:val="28"/>
        </w:rPr>
        <w:t>）为该型号所具有的新颖独特的设计特点，根据《民航航空产品和零部件合格审定规定》第</w:t>
      </w:r>
      <w:r w:rsidRPr="00DA35D2">
        <w:rPr>
          <w:rFonts w:hAnsi="Times New Roman" w:cs="Times New Roman" w:hint="eastAsia"/>
          <w:sz w:val="28"/>
          <w:szCs w:val="28"/>
        </w:rPr>
        <w:t>21.16</w:t>
      </w:r>
      <w:r w:rsidRPr="00DA35D2">
        <w:rPr>
          <w:rFonts w:hint="eastAsia"/>
          <w:sz w:val="28"/>
          <w:szCs w:val="28"/>
        </w:rPr>
        <w:t>条的规定及中国民用航空规章《正常类飞机适航规定》（</w:t>
      </w:r>
      <w:r w:rsidRPr="00DA35D2">
        <w:rPr>
          <w:rFonts w:hAnsi="Times New Roman" w:cs="Times New Roman" w:hint="eastAsia"/>
          <w:sz w:val="28"/>
          <w:szCs w:val="28"/>
        </w:rPr>
        <w:t>CCAR-23-R4</w:t>
      </w:r>
      <w:r w:rsidRPr="00DA35D2">
        <w:rPr>
          <w:rFonts w:hint="eastAsia"/>
          <w:sz w:val="28"/>
          <w:szCs w:val="28"/>
        </w:rPr>
        <w:t>）第</w:t>
      </w:r>
      <w:r w:rsidRPr="00DA35D2">
        <w:rPr>
          <w:rFonts w:hAnsi="Times New Roman" w:cs="Times New Roman" w:hint="eastAsia"/>
          <w:sz w:val="28"/>
          <w:szCs w:val="28"/>
        </w:rPr>
        <w:t>23.2700</w:t>
      </w:r>
      <w:r w:rsidRPr="00DA35D2">
        <w:rPr>
          <w:rFonts w:hint="eastAsia"/>
          <w:sz w:val="28"/>
          <w:szCs w:val="28"/>
        </w:rPr>
        <w:t>条中“安装在电动飞机上的电推进系统，应当按照局方接受的标准，随飞机型号合格证获得批准”的要求，为保证</w:t>
      </w:r>
      <w:r w:rsidRPr="00DA35D2">
        <w:rPr>
          <w:rFonts w:hAnsi="Times New Roman" w:cs="Times New Roman" w:hint="eastAsia"/>
          <w:sz w:val="28"/>
          <w:szCs w:val="28"/>
        </w:rPr>
        <w:t>RX4E</w:t>
      </w:r>
      <w:r w:rsidR="001E232F" w:rsidRPr="00DA35D2">
        <w:rPr>
          <w:rFonts w:hint="eastAsia"/>
          <w:sz w:val="28"/>
          <w:szCs w:val="28"/>
        </w:rPr>
        <w:t>型</w:t>
      </w:r>
      <w:r w:rsidRPr="00DA35D2">
        <w:rPr>
          <w:rFonts w:hint="eastAsia"/>
          <w:sz w:val="28"/>
          <w:szCs w:val="28"/>
        </w:rPr>
        <w:t>飞机的安全运行，制定本专用条件，作为</w:t>
      </w:r>
      <w:r w:rsidRPr="00DA35D2">
        <w:rPr>
          <w:rFonts w:hAnsi="Times New Roman" w:cs="Times New Roman" w:hint="eastAsia"/>
          <w:sz w:val="28"/>
          <w:szCs w:val="28"/>
        </w:rPr>
        <w:t>RX4E</w:t>
      </w:r>
      <w:r w:rsidRPr="00DA35D2">
        <w:rPr>
          <w:rFonts w:hint="eastAsia"/>
          <w:sz w:val="28"/>
          <w:szCs w:val="28"/>
        </w:rPr>
        <w:t>飞机型号合格审定基础的构成部分。</w:t>
      </w:r>
    </w:p>
    <w:p w14:paraId="1C4FC13F" w14:textId="77777777" w:rsidR="00B36661" w:rsidRPr="00DA35D2" w:rsidRDefault="003D72F2">
      <w:pPr>
        <w:pStyle w:val="Default"/>
        <w:numPr>
          <w:ilvl w:val="0"/>
          <w:numId w:val="1"/>
        </w:numPr>
        <w:spacing w:line="360" w:lineRule="auto"/>
        <w:jc w:val="both"/>
        <w:rPr>
          <w:b/>
          <w:sz w:val="28"/>
          <w:szCs w:val="28"/>
        </w:rPr>
      </w:pPr>
      <w:r w:rsidRPr="00DA35D2">
        <w:rPr>
          <w:rFonts w:hint="eastAsia"/>
          <w:b/>
          <w:sz w:val="28"/>
          <w:szCs w:val="28"/>
        </w:rPr>
        <w:t>适用范围</w:t>
      </w:r>
    </w:p>
    <w:p w14:paraId="3AB541E3" w14:textId="77777777" w:rsidR="00B36661" w:rsidRPr="00DA35D2" w:rsidRDefault="003D72F2">
      <w:pPr>
        <w:pStyle w:val="Default"/>
        <w:spacing w:line="360" w:lineRule="auto"/>
        <w:ind w:firstLineChars="200" w:firstLine="560"/>
        <w:jc w:val="both"/>
        <w:rPr>
          <w:sz w:val="28"/>
          <w:szCs w:val="28"/>
        </w:rPr>
      </w:pPr>
      <w:r w:rsidRPr="00DA35D2">
        <w:rPr>
          <w:rFonts w:hAnsi="Times New Roman" w:cs="Times New Roman" w:hint="eastAsia"/>
          <w:sz w:val="28"/>
          <w:szCs w:val="28"/>
        </w:rPr>
        <w:t>RX4E</w:t>
      </w:r>
      <w:r w:rsidRPr="00DA35D2">
        <w:rPr>
          <w:rFonts w:hint="eastAsia"/>
          <w:sz w:val="28"/>
          <w:szCs w:val="28"/>
        </w:rPr>
        <w:t>型飞机</w:t>
      </w:r>
    </w:p>
    <w:p w14:paraId="56AD7D8D" w14:textId="77777777" w:rsidR="00B36661" w:rsidRPr="00DA35D2" w:rsidRDefault="003D72F2">
      <w:pPr>
        <w:pStyle w:val="Default"/>
        <w:numPr>
          <w:ilvl w:val="0"/>
          <w:numId w:val="1"/>
        </w:numPr>
        <w:spacing w:line="360" w:lineRule="auto"/>
        <w:jc w:val="both"/>
        <w:rPr>
          <w:b/>
          <w:sz w:val="28"/>
          <w:szCs w:val="28"/>
        </w:rPr>
      </w:pPr>
      <w:r w:rsidRPr="00DA35D2">
        <w:rPr>
          <w:rFonts w:hint="eastAsia"/>
          <w:b/>
          <w:sz w:val="28"/>
          <w:szCs w:val="28"/>
        </w:rPr>
        <w:t>专用条件草案</w:t>
      </w:r>
    </w:p>
    <w:p w14:paraId="58B66D20" w14:textId="77777777" w:rsidR="00B36661" w:rsidRPr="00DA35D2" w:rsidRDefault="003D72F2">
      <w:pPr>
        <w:autoSpaceDE w:val="0"/>
        <w:autoSpaceDN w:val="0"/>
        <w:adjustRightInd w:val="0"/>
        <w:spacing w:line="360" w:lineRule="auto"/>
        <w:jc w:val="center"/>
        <w:rPr>
          <w:rFonts w:ascii="仿宋_GB2312" w:eastAsia="仿宋_GB2312"/>
          <w:b/>
          <w:color w:val="000000"/>
          <w:sz w:val="28"/>
          <w:szCs w:val="28"/>
        </w:rPr>
      </w:pPr>
      <w:r w:rsidRPr="00DA35D2">
        <w:rPr>
          <w:rFonts w:ascii="仿宋_GB2312" w:eastAsia="仿宋_GB2312" w:hAnsi="Times New Roman" w:cs="Times New Roman" w:hint="eastAsia"/>
          <w:color w:val="000000"/>
          <w:kern w:val="0"/>
          <w:sz w:val="28"/>
          <w:szCs w:val="28"/>
        </w:rPr>
        <w:lastRenderedPageBreak/>
        <w:t>RX4E</w:t>
      </w:r>
      <w:r w:rsidRPr="00DA35D2">
        <w:rPr>
          <w:rFonts w:ascii="仿宋_GB2312" w:eastAsia="仿宋_GB2312" w:hAnsi="仿宋" w:hint="eastAsia"/>
          <w:b/>
          <w:color w:val="000000"/>
          <w:sz w:val="28"/>
          <w:szCs w:val="28"/>
        </w:rPr>
        <w:t>飞机电推进系统技术要求</w:t>
      </w:r>
    </w:p>
    <w:p w14:paraId="69855BD5"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1.电推进系统额定值和使用限制</w:t>
      </w:r>
    </w:p>
    <w:p w14:paraId="3C20FA35"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必须确定如下参数的额定值和使用限制：</w:t>
      </w:r>
    </w:p>
    <w:p w14:paraId="582B9872" w14:textId="77777777" w:rsidR="00B36661" w:rsidRPr="00DA35D2" w:rsidRDefault="005708D3" w:rsidP="0064719E">
      <w:pPr>
        <w:spacing w:line="360" w:lineRule="auto"/>
        <w:ind w:firstLine="624"/>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 xml:space="preserve">) </w:t>
      </w:r>
      <w:r w:rsidR="003D72F2" w:rsidRPr="00DA35D2">
        <w:rPr>
          <w:rFonts w:ascii="仿宋_GB2312" w:eastAsia="仿宋_GB2312" w:hAnsi="仿宋" w:hint="eastAsia"/>
          <w:color w:val="000000"/>
          <w:sz w:val="28"/>
          <w:szCs w:val="28"/>
        </w:rPr>
        <w:t>工作制和该工作制下的额定值。</w:t>
      </w:r>
    </w:p>
    <w:p w14:paraId="1B843B69" w14:textId="77777777" w:rsidR="00B36661" w:rsidRPr="00DA35D2" w:rsidRDefault="005708D3" w:rsidP="0064719E">
      <w:pPr>
        <w:spacing w:line="360" w:lineRule="auto"/>
        <w:ind w:firstLine="624"/>
        <w:rPr>
          <w:rFonts w:ascii="仿宋_GB2312" w:eastAsia="仿宋_GB2312" w:hAnsi="仿宋"/>
          <w:color w:val="000000"/>
          <w:sz w:val="28"/>
          <w:szCs w:val="28"/>
        </w:rPr>
      </w:pP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 xml:space="preserve"> </w:t>
      </w:r>
      <w:r w:rsidR="003D72F2" w:rsidRPr="00DA35D2">
        <w:rPr>
          <w:rFonts w:ascii="仿宋_GB2312" w:eastAsia="仿宋_GB2312" w:hAnsi="仿宋" w:hint="eastAsia"/>
          <w:color w:val="000000"/>
          <w:sz w:val="28"/>
          <w:szCs w:val="28"/>
        </w:rPr>
        <w:t>以下状态下的功率、扭矩、转速和对应时间的使用限制：</w:t>
      </w:r>
    </w:p>
    <w:p w14:paraId="3AE7F77F"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1</w:t>
      </w:r>
      <w:r w:rsidRPr="00DA35D2">
        <w:rPr>
          <w:rFonts w:ascii="仿宋_GB2312" w:eastAsia="仿宋_GB2312" w:hAnsi="仿宋" w:hint="eastAsia"/>
          <w:color w:val="000000"/>
          <w:sz w:val="28"/>
          <w:szCs w:val="28"/>
        </w:rPr>
        <w:t>）额定最大连续功率；</w:t>
      </w:r>
    </w:p>
    <w:p w14:paraId="700EA07F"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2</w:t>
      </w:r>
      <w:r w:rsidRPr="00DA35D2">
        <w:rPr>
          <w:rFonts w:ascii="仿宋_GB2312" w:eastAsia="仿宋_GB2312" w:hAnsi="仿宋" w:hint="eastAsia"/>
          <w:color w:val="000000"/>
          <w:sz w:val="28"/>
          <w:szCs w:val="28"/>
        </w:rPr>
        <w:t>）额定起飞功率。</w:t>
      </w:r>
    </w:p>
    <w:p w14:paraId="5AA5D019"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2.防火</w:t>
      </w:r>
    </w:p>
    <w:p w14:paraId="262D35F6"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电推进系统的设计和构造及所用的材料必须使着火和火焰蔓延的可能性减至最小。</w:t>
      </w:r>
    </w:p>
    <w:p w14:paraId="2F7BE0E8"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高压电气线路互联系统必须具有电弧防护功能。必须分析任何未受保护的电气线路互联，以表明电弧故障不会导致电推进系统灾难性失效。</w:t>
      </w:r>
    </w:p>
    <w:p w14:paraId="3E6FE326"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3.耐久性</w:t>
      </w:r>
    </w:p>
    <w:p w14:paraId="6569EB7D"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在规定的维护周期内,电推进系统的设计和构造应尽量减少电推进系统不安全状况。</w:t>
      </w:r>
    </w:p>
    <w:p w14:paraId="2B7C0D94"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4.电推进系统安装</w:t>
      </w:r>
      <w:r w:rsidRPr="00DA35D2">
        <w:rPr>
          <w:rFonts w:ascii="仿宋_GB2312" w:eastAsia="仿宋_GB2312" w:hAnsi="仿宋" w:hint="eastAsia"/>
          <w:b/>
          <w:bCs/>
          <w:color w:val="000000"/>
          <w:sz w:val="28"/>
          <w:szCs w:val="28"/>
        </w:rPr>
        <w:t>构</w:t>
      </w:r>
      <w:r w:rsidRPr="00DA35D2">
        <w:rPr>
          <w:rFonts w:ascii="仿宋_GB2312" w:eastAsia="仿宋_GB2312" w:hAnsi="仿宋" w:cs="Times New Roman" w:hint="eastAsia"/>
          <w:b/>
          <w:bCs/>
          <w:color w:val="000000"/>
          <w:sz w:val="28"/>
          <w:szCs w:val="28"/>
        </w:rPr>
        <w:t>件</w:t>
      </w:r>
      <w:r w:rsidRPr="00DA35D2">
        <w:rPr>
          <w:rFonts w:ascii="仿宋_GB2312" w:eastAsia="仿宋_GB2312" w:hAnsi="仿宋" w:cs="Times New Roman" w:hint="eastAsia"/>
          <w:b/>
          <w:color w:val="000000"/>
          <w:sz w:val="28"/>
          <w:szCs w:val="28"/>
        </w:rPr>
        <w:t>和结构</w:t>
      </w:r>
    </w:p>
    <w:p w14:paraId="5121A135"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电推进系统安装构件和相关电推进系统结构应符合如下要求：</w:t>
      </w:r>
    </w:p>
    <w:p w14:paraId="1232622C" w14:textId="77777777" w:rsidR="00B36661" w:rsidRPr="00DA35D2" w:rsidRDefault="003D72F2">
      <w:pPr>
        <w:spacing w:line="360" w:lineRule="auto"/>
        <w:ind w:firstLine="3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）必须规定电推进系统安装构件和相关电推进系统结构的最大允许限制载荷和极限载荷。</w:t>
      </w:r>
    </w:p>
    <w:p w14:paraId="31ECE563" w14:textId="77777777" w:rsidR="00B36661" w:rsidRPr="00DA35D2" w:rsidRDefault="003D72F2">
      <w:pPr>
        <w:spacing w:line="360" w:lineRule="auto"/>
        <w:ind w:firstLine="3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）该电推进系统安装构件和相关电推进系统结构必须能承受下列载荷：</w:t>
      </w:r>
    </w:p>
    <w:p w14:paraId="6828D1AB"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（1）规定的限制载荷并且没有永久变形；</w:t>
      </w:r>
    </w:p>
    <w:p w14:paraId="01006AA3"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（2）规定的极限载荷并且没有破坏，但可以出现永久变形；</w:t>
      </w:r>
    </w:p>
    <w:p w14:paraId="080796B5"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（3）电机扭矩载荷需由平均扭矩乘以扭矩系数</w:t>
      </w:r>
      <w:r w:rsidRPr="00000E68">
        <w:rPr>
          <w:rFonts w:ascii="仿宋_GB2312" w:eastAsia="仿宋_GB2312" w:hAnsi="仿宋" w:hint="eastAsia"/>
          <w:color w:val="000000"/>
          <w:sz w:val="28"/>
          <w:szCs w:val="28"/>
        </w:rPr>
        <w:t>1.33</w:t>
      </w:r>
      <w:r w:rsidRPr="00DA35D2">
        <w:rPr>
          <w:rFonts w:ascii="仿宋_GB2312" w:eastAsia="仿宋_GB2312" w:hAnsi="仿宋" w:hint="eastAsia"/>
          <w:color w:val="000000"/>
          <w:sz w:val="28"/>
          <w:szCs w:val="28"/>
        </w:rPr>
        <w:t>。</w:t>
      </w:r>
    </w:p>
    <w:p w14:paraId="262D46AB"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5.电推进控制系统</w:t>
      </w:r>
    </w:p>
    <w:p w14:paraId="31FCD3D8"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）适用性</w:t>
      </w:r>
    </w:p>
    <w:p w14:paraId="4B57CCC3"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本节的要求适用于所有用于控制、限制、监测或保护电推进系统运行的系统或装置。</w:t>
      </w:r>
    </w:p>
    <w:p w14:paraId="02573B62"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）电推进控制系统</w:t>
      </w:r>
    </w:p>
    <w:p w14:paraId="678DD4FF"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电推进控制系统必须确保电推进系统不会超过任何使用限制。</w:t>
      </w:r>
    </w:p>
    <w:p w14:paraId="473135E5"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c</w:t>
      </w:r>
      <w:r w:rsidRPr="00DA35D2">
        <w:rPr>
          <w:rFonts w:ascii="仿宋_GB2312" w:eastAsia="仿宋_GB2312" w:hAnsi="仿宋" w:hint="eastAsia"/>
          <w:color w:val="000000"/>
          <w:sz w:val="28"/>
          <w:szCs w:val="28"/>
        </w:rPr>
        <w:t>）验证</w:t>
      </w:r>
    </w:p>
    <w:p w14:paraId="45ED7B51"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控制系统的所有功能必须通过试验、分析或其组合方法进行验证，以表明电推进控制系统在整个规定的运行范围内实现预期功能。</w:t>
      </w:r>
    </w:p>
    <w:p w14:paraId="42A0A632"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d</w:t>
      </w:r>
      <w:r w:rsidRPr="00DA35D2">
        <w:rPr>
          <w:rFonts w:ascii="仿宋_GB2312" w:eastAsia="仿宋_GB2312" w:hAnsi="仿宋" w:hint="eastAsia"/>
          <w:color w:val="000000"/>
          <w:sz w:val="28"/>
          <w:szCs w:val="28"/>
        </w:rPr>
        <w:t>）环境限制</w:t>
      </w:r>
    </w:p>
    <w:p w14:paraId="2814A8DA"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不能通过耐久性试验、分析或其组合充分验证的环境限制，必须通过本专用条件第</w:t>
      </w:r>
      <w:r w:rsidRPr="00DA35D2">
        <w:rPr>
          <w:rFonts w:ascii="仿宋_GB2312" w:eastAsia="仿宋_GB2312" w:hAnsi="Times New Roman" w:cs="Times New Roman" w:hint="eastAsia"/>
          <w:color w:val="000000"/>
          <w:kern w:val="0"/>
          <w:sz w:val="28"/>
          <w:szCs w:val="28"/>
        </w:rPr>
        <w:t>18</w:t>
      </w:r>
      <w:r w:rsidRPr="00DA35D2">
        <w:rPr>
          <w:rFonts w:ascii="仿宋_GB2312" w:eastAsia="仿宋_GB2312" w:hAnsi="仿宋" w:hint="eastAsia"/>
          <w:color w:val="000000"/>
          <w:sz w:val="28"/>
          <w:szCs w:val="28"/>
        </w:rPr>
        <w:t>节中的系统和部件试验进行验证。</w:t>
      </w:r>
    </w:p>
    <w:p w14:paraId="3B9E811F"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e</w:t>
      </w:r>
      <w:r w:rsidRPr="00DA35D2">
        <w:rPr>
          <w:rFonts w:ascii="仿宋_GB2312" w:eastAsia="仿宋_GB2312" w:hAnsi="仿宋" w:hint="eastAsia"/>
          <w:color w:val="000000"/>
          <w:sz w:val="28"/>
          <w:szCs w:val="28"/>
        </w:rPr>
        <w:t>）电推进控制系统故障</w:t>
      </w:r>
    </w:p>
    <w:p w14:paraId="4ACC5881"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电推进控制系统必须</w:t>
      </w:r>
    </w:p>
    <w:p w14:paraId="1C6C2954" w14:textId="77777777" w:rsidR="00B36661" w:rsidRPr="00DA35D2" w:rsidRDefault="00333E4A"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1</w:t>
      </w:r>
      <w:r w:rsidRPr="00DA35D2">
        <w:rPr>
          <w:rFonts w:ascii="仿宋_GB2312" w:eastAsia="仿宋_GB2312" w:hAnsi="仿宋" w:hint="eastAsia"/>
          <w:color w:val="000000"/>
          <w:sz w:val="28"/>
          <w:szCs w:val="28"/>
        </w:rPr>
        <w:t>）</w:t>
      </w:r>
      <w:r w:rsidR="003D72F2" w:rsidRPr="00DA35D2">
        <w:rPr>
          <w:rFonts w:ascii="仿宋_GB2312" w:eastAsia="仿宋_GB2312" w:hAnsi="仿宋" w:hint="eastAsia"/>
          <w:color w:val="000000"/>
          <w:sz w:val="28"/>
          <w:szCs w:val="28"/>
        </w:rPr>
        <w:t>预期应用一致的电控失效（</w:t>
      </w:r>
      <w:r w:rsidR="003D72F2" w:rsidRPr="00000E68">
        <w:rPr>
          <w:rFonts w:ascii="仿宋_GB2312" w:eastAsia="仿宋_GB2312" w:hAnsi="仿宋" w:hint="eastAsia"/>
          <w:color w:val="000000"/>
          <w:sz w:val="28"/>
          <w:szCs w:val="28"/>
        </w:rPr>
        <w:t>LOPC</w:t>
      </w:r>
      <w:r w:rsidR="003D72F2" w:rsidRPr="00DA35D2">
        <w:rPr>
          <w:rFonts w:ascii="仿宋_GB2312" w:eastAsia="仿宋_GB2312" w:hAnsi="仿宋" w:hint="eastAsia"/>
          <w:color w:val="000000"/>
          <w:sz w:val="28"/>
          <w:szCs w:val="28"/>
        </w:rPr>
        <w:t>）事件的最高定额；</w:t>
      </w:r>
    </w:p>
    <w:p w14:paraId="7C7A3488"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2</w:t>
      </w:r>
      <w:r w:rsidRPr="00DA35D2">
        <w:rPr>
          <w:rFonts w:ascii="仿宋_GB2312" w:eastAsia="仿宋_GB2312" w:hAnsi="仿宋" w:hint="eastAsia"/>
          <w:color w:val="000000"/>
          <w:sz w:val="28"/>
          <w:szCs w:val="28"/>
        </w:rPr>
        <w:t>）必须确定在完整构型中允许发生针对LOPC事件的电气和电子失效引起的单一故障;</w:t>
      </w:r>
    </w:p>
    <w:p w14:paraId="773E4E5F"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3</w:t>
      </w:r>
      <w:r w:rsidRPr="00DA35D2">
        <w:rPr>
          <w:rFonts w:ascii="仿宋_GB2312" w:eastAsia="仿宋_GB2312" w:hAnsi="仿宋" w:hint="eastAsia"/>
          <w:color w:val="000000"/>
          <w:sz w:val="28"/>
          <w:szCs w:val="28"/>
        </w:rPr>
        <w:t>）不能有导致电推进系统灾难性失效的单一故障；</w:t>
      </w:r>
    </w:p>
    <w:p w14:paraId="2C519437"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4</w:t>
      </w:r>
      <w:r w:rsidRPr="00DA35D2">
        <w:rPr>
          <w:rFonts w:ascii="仿宋_GB2312" w:eastAsia="仿宋_GB2312" w:hAnsi="仿宋" w:hint="eastAsia"/>
          <w:color w:val="000000"/>
          <w:sz w:val="28"/>
          <w:szCs w:val="28"/>
        </w:rPr>
        <w:t>）在预期的应用中，不能有导致电弧、火灾、过热或其他类似事件的故障。</w:t>
      </w:r>
    </w:p>
    <w:p w14:paraId="50AFC5A4"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f</w:t>
      </w:r>
      <w:r w:rsidRPr="00DA35D2">
        <w:rPr>
          <w:rFonts w:ascii="仿宋_GB2312" w:eastAsia="仿宋_GB2312" w:hAnsi="仿宋" w:hint="eastAsia"/>
          <w:color w:val="000000"/>
          <w:sz w:val="28"/>
          <w:szCs w:val="28"/>
        </w:rPr>
        <w:t>）系统安全评估</w:t>
      </w:r>
    </w:p>
    <w:p w14:paraId="023DFF3F"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该评估必须确定影响正常运行的故障或失效，以及预计发生的频率。</w:t>
      </w:r>
    </w:p>
    <w:p w14:paraId="1F75BF1F"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g</w:t>
      </w:r>
      <w:r w:rsidRPr="00DA35D2">
        <w:rPr>
          <w:rFonts w:ascii="仿宋_GB2312" w:eastAsia="仿宋_GB2312" w:hAnsi="仿宋" w:hint="eastAsia"/>
          <w:color w:val="000000"/>
          <w:sz w:val="28"/>
          <w:szCs w:val="28"/>
        </w:rPr>
        <w:t>）保护系统</w:t>
      </w:r>
    </w:p>
    <w:p w14:paraId="0331DAB0"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电推进控制系统的设计和功能、相关仪表以及操作和维护说明，必须确保电推进系统在运行中不会超过使用限制。</w:t>
      </w:r>
    </w:p>
    <w:p w14:paraId="2A9F54ED"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h</w:t>
      </w:r>
      <w:r w:rsidRPr="00DA35D2">
        <w:rPr>
          <w:rFonts w:ascii="仿宋_GB2312" w:eastAsia="仿宋_GB2312" w:hAnsi="仿宋" w:hint="eastAsia"/>
          <w:color w:val="000000"/>
          <w:sz w:val="28"/>
          <w:szCs w:val="28"/>
        </w:rPr>
        <w:t>）电推进控制系统供电</w:t>
      </w:r>
    </w:p>
    <w:p w14:paraId="3D89CA69"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电推进控制系统的设计必须确保控制系统单一电源的丧失、故障或中断不会导致电推进系统灾难性失效（如第</w:t>
      </w:r>
      <w:r w:rsidRPr="00DA35D2">
        <w:rPr>
          <w:rFonts w:ascii="仿宋_GB2312" w:eastAsia="仿宋_GB2312" w:hAnsi="Times New Roman" w:cs="Times New Roman" w:hint="eastAsia"/>
          <w:color w:val="000000"/>
          <w:sz w:val="28"/>
          <w:szCs w:val="28"/>
        </w:rPr>
        <w:t>10（e）（2）</w:t>
      </w:r>
      <w:r w:rsidRPr="00DA35D2">
        <w:rPr>
          <w:rFonts w:ascii="仿宋_GB2312" w:eastAsia="仿宋_GB2312" w:hAnsi="仿宋" w:hint="eastAsia"/>
          <w:color w:val="000000"/>
          <w:sz w:val="28"/>
          <w:szCs w:val="28"/>
        </w:rPr>
        <w:t>节中的定义）。</w:t>
      </w:r>
    </w:p>
    <w:p w14:paraId="6A270578"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6.仪表连接</w:t>
      </w:r>
    </w:p>
    <w:p w14:paraId="7609B8F0" w14:textId="77777777" w:rsidR="00B36661" w:rsidRPr="00DA35D2" w:rsidRDefault="003D72F2">
      <w:pPr>
        <w:spacing w:line="360" w:lineRule="auto"/>
        <w:ind w:firstLine="3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）作为本专用条件第</w:t>
      </w:r>
      <w:r w:rsidRPr="00DA35D2">
        <w:rPr>
          <w:rFonts w:ascii="仿宋_GB2312" w:eastAsia="仿宋_GB2312" w:hAnsi="Times New Roman" w:cs="Times New Roman" w:hint="eastAsia"/>
          <w:color w:val="000000"/>
          <w:sz w:val="28"/>
          <w:szCs w:val="28"/>
        </w:rPr>
        <w:t>5（f）</w:t>
      </w:r>
      <w:r w:rsidRPr="00DA35D2">
        <w:rPr>
          <w:rFonts w:ascii="仿宋_GB2312" w:eastAsia="仿宋_GB2312" w:hAnsi="仿宋" w:hint="eastAsia"/>
          <w:color w:val="000000"/>
          <w:sz w:val="28"/>
          <w:szCs w:val="28"/>
        </w:rPr>
        <w:t>节中控制系统安全评估的一部分，必须评估仪表、传感器或连接器错误装配的可能性和后果。如需要，必须在系统中采用防错设计。</w:t>
      </w:r>
    </w:p>
    <w:p w14:paraId="6E08C20D" w14:textId="77777777" w:rsidR="00B36661" w:rsidRPr="00DA35D2" w:rsidRDefault="003D72F2">
      <w:pPr>
        <w:spacing w:line="360" w:lineRule="auto"/>
        <w:ind w:firstLine="3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）除非在结构上能防止错接仪表，否则要求电推进系统仪表的每个连接件都必须作标记。</w:t>
      </w:r>
    </w:p>
    <w:p w14:paraId="61095818"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7.关键件和限寿件</w:t>
      </w:r>
    </w:p>
    <w:p w14:paraId="3E8575CC"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）必须通过安全分析或被认可的方法，证明旋转或移动部件、轴承、轴、静态部件和非冗余安装部件为关键件或限寿件，并确保在其整个使用寿命期间作为关键件或限寿件进行分类、设计、制造和管理。</w:t>
      </w:r>
    </w:p>
    <w:p w14:paraId="2104EE39"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1</w:t>
      </w:r>
      <w:r w:rsidRPr="00DA35D2">
        <w:rPr>
          <w:rFonts w:ascii="仿宋_GB2312" w:eastAsia="仿宋_GB2312" w:hAnsi="仿宋" w:hint="eastAsia"/>
          <w:color w:val="000000"/>
          <w:sz w:val="28"/>
          <w:szCs w:val="28"/>
        </w:rPr>
        <w:t>）关键件是指其故障可能导致电推进系统灾难性失效的零件，如本专用条件第</w:t>
      </w:r>
      <w:r w:rsidRPr="00000E68">
        <w:rPr>
          <w:rFonts w:ascii="仿宋_GB2312" w:eastAsia="仿宋_GB2312" w:hAnsi="仿宋" w:hint="eastAsia"/>
          <w:color w:val="000000"/>
          <w:sz w:val="28"/>
          <w:szCs w:val="28"/>
        </w:rPr>
        <w:t>10（e）（2）</w:t>
      </w:r>
      <w:r w:rsidRPr="00DA35D2">
        <w:rPr>
          <w:rFonts w:ascii="仿宋_GB2312" w:eastAsia="仿宋_GB2312" w:hAnsi="仿宋" w:hint="eastAsia"/>
          <w:color w:val="000000"/>
          <w:sz w:val="28"/>
          <w:szCs w:val="28"/>
        </w:rPr>
        <w:t>条之规定。</w:t>
      </w:r>
    </w:p>
    <w:p w14:paraId="5533D5C0"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2</w:t>
      </w:r>
      <w:r w:rsidRPr="00DA35D2">
        <w:rPr>
          <w:rFonts w:ascii="仿宋_GB2312" w:eastAsia="仿宋_GB2312" w:hAnsi="仿宋" w:hint="eastAsia"/>
          <w:color w:val="000000"/>
          <w:sz w:val="28"/>
          <w:szCs w:val="28"/>
        </w:rPr>
        <w:t>）限寿件是指转子和主要结构静态零件，其故障可能由于低周疲劳（LCF）机制或任何LCF驱动机理加上蠕变而导致电推进系统灾难性失效。其寿命限制指零件可以承受的最大允许飞行循环次数。</w:t>
      </w:r>
    </w:p>
    <w:p w14:paraId="409C06CF"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）必须提供计划维修文件，用于定义维护和修理关键件或限寿件的周期。</w:t>
      </w:r>
    </w:p>
    <w:p w14:paraId="3CBE07CB"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hint="eastAsia"/>
          <w:color w:val="000000"/>
          <w:sz w:val="28"/>
          <w:szCs w:val="28"/>
        </w:rPr>
        <w:t>8</w:t>
      </w:r>
      <w:r w:rsidRPr="00DA35D2">
        <w:rPr>
          <w:rFonts w:ascii="仿宋_GB2312" w:eastAsia="仿宋_GB2312" w:hAnsi="仿宋" w:cs="Times New Roman" w:hint="eastAsia"/>
          <w:b/>
          <w:color w:val="000000"/>
          <w:sz w:val="28"/>
          <w:szCs w:val="28"/>
        </w:rPr>
        <w:t>.功率响应</w:t>
      </w:r>
    </w:p>
    <w:p w14:paraId="613DD35B"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电推进系统的设计和构造必须能够</w:t>
      </w:r>
    </w:p>
    <w:p w14:paraId="1BE23762"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 xml:space="preserve">）从最小功率设定到最高额定功率而不会损害电推进系统； </w:t>
      </w:r>
    </w:p>
    <w:p w14:paraId="50735E9A"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）在确保飞行安全的时间间隔内从最小功率增加到最高额定功率。</w:t>
      </w:r>
    </w:p>
    <w:p w14:paraId="75011607"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9.持续转动</w:t>
      </w:r>
    </w:p>
    <w:p w14:paraId="45B713D0"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在飞行中关闭电推进系统后，旋转系统的持续转动对电推进系统没有不利影响。</w:t>
      </w:r>
    </w:p>
    <w:p w14:paraId="1B7FE36A"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10.安全性分析</w:t>
      </w:r>
    </w:p>
    <w:p w14:paraId="14440C9D"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）必须使用本专用条件</w:t>
      </w:r>
      <w:r w:rsidRPr="00DA35D2">
        <w:rPr>
          <w:rFonts w:ascii="仿宋_GB2312" w:eastAsia="仿宋_GB2312" w:hAnsi="Times New Roman" w:cs="Times New Roman" w:hint="eastAsia"/>
          <w:color w:val="000000"/>
          <w:sz w:val="28"/>
          <w:szCs w:val="28"/>
        </w:rPr>
        <w:t>10（e）</w:t>
      </w:r>
      <w:r w:rsidRPr="00DA35D2">
        <w:rPr>
          <w:rFonts w:ascii="仿宋_GB2312" w:eastAsia="仿宋_GB2312" w:hAnsi="仿宋" w:hint="eastAsia"/>
          <w:color w:val="000000"/>
          <w:sz w:val="28"/>
          <w:szCs w:val="28"/>
        </w:rPr>
        <w:t>的失效定义，遵守如下</w:t>
      </w:r>
      <w:r w:rsidRPr="00DA35D2">
        <w:rPr>
          <w:rFonts w:ascii="仿宋_GB2312" w:eastAsia="仿宋_GB2312" w:hAnsi="Times New Roman" w:cs="Times New Roman" w:hint="eastAsia"/>
          <w:color w:val="000000"/>
          <w:sz w:val="28"/>
          <w:szCs w:val="28"/>
        </w:rPr>
        <w:t>（1）</w:t>
      </w: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（2）</w:t>
      </w:r>
      <w:r w:rsidRPr="00DA35D2">
        <w:rPr>
          <w:rFonts w:ascii="仿宋_GB2312" w:eastAsia="仿宋_GB2312" w:hAnsi="仿宋" w:hint="eastAsia"/>
          <w:color w:val="000000"/>
          <w:sz w:val="28"/>
          <w:szCs w:val="28"/>
        </w:rPr>
        <w:t>和</w:t>
      </w:r>
      <w:r w:rsidRPr="00DA35D2">
        <w:rPr>
          <w:rFonts w:ascii="仿宋_GB2312" w:eastAsia="仿宋_GB2312" w:hAnsi="Times New Roman" w:cs="Times New Roman" w:hint="eastAsia"/>
          <w:color w:val="000000"/>
          <w:sz w:val="28"/>
          <w:szCs w:val="28"/>
        </w:rPr>
        <w:t>（3）</w:t>
      </w:r>
      <w:r w:rsidRPr="00DA35D2">
        <w:rPr>
          <w:rFonts w:ascii="仿宋_GB2312" w:eastAsia="仿宋_GB2312" w:hAnsi="仿宋" w:hint="eastAsia"/>
          <w:color w:val="000000"/>
          <w:sz w:val="28"/>
          <w:szCs w:val="28"/>
        </w:rPr>
        <w:t>条。</w:t>
      </w:r>
    </w:p>
    <w:p w14:paraId="11A491DE"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1</w:t>
      </w:r>
      <w:r w:rsidRPr="00DA35D2">
        <w:rPr>
          <w:rFonts w:ascii="仿宋_GB2312" w:eastAsia="仿宋_GB2312" w:hAnsi="仿宋" w:hint="eastAsia"/>
          <w:color w:val="000000"/>
          <w:sz w:val="28"/>
          <w:szCs w:val="28"/>
        </w:rPr>
        <w:t>）为了评估预期可能发生的所有失效的后果，必须对电推进系统及其控制系统进行分析。如适用，分析中必须考虑：</w:t>
      </w:r>
    </w:p>
    <w:p w14:paraId="717CB947"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i</w:t>
      </w:r>
      <w:r w:rsidRPr="00DA35D2">
        <w:rPr>
          <w:rFonts w:ascii="仿宋_GB2312" w:eastAsia="仿宋_GB2312" w:hAnsi="仿宋" w:hint="eastAsia"/>
          <w:color w:val="000000"/>
          <w:sz w:val="28"/>
          <w:szCs w:val="28"/>
        </w:rPr>
        <w:t>）典型电推进装置安装的假设；</w:t>
      </w:r>
    </w:p>
    <w:p w14:paraId="58DCCB82"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ii</w:t>
      </w:r>
      <w:r w:rsidRPr="00DA35D2">
        <w:rPr>
          <w:rFonts w:ascii="仿宋_GB2312" w:eastAsia="仿宋_GB2312" w:hAnsi="仿宋" w:hint="eastAsia"/>
          <w:color w:val="000000"/>
          <w:sz w:val="28"/>
          <w:szCs w:val="28"/>
        </w:rPr>
        <w:t>）电推进系统级影响的失效；</w:t>
      </w:r>
    </w:p>
    <w:p w14:paraId="297817AA"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iii</w:t>
      </w:r>
      <w:r w:rsidRPr="00DA35D2">
        <w:rPr>
          <w:rFonts w:ascii="仿宋_GB2312" w:eastAsia="仿宋_GB2312" w:hAnsi="仿宋" w:hint="eastAsia"/>
          <w:color w:val="000000"/>
          <w:sz w:val="28"/>
          <w:szCs w:val="28"/>
        </w:rPr>
        <w:t>）本条（</w:t>
      </w:r>
      <w:r w:rsidRPr="00000E68">
        <w:rPr>
          <w:rFonts w:ascii="仿宋_GB2312" w:eastAsia="仿宋_GB2312" w:hAnsi="仿宋" w:hint="eastAsia"/>
          <w:color w:val="000000"/>
          <w:sz w:val="28"/>
          <w:szCs w:val="28"/>
        </w:rPr>
        <w:t>d</w:t>
      </w:r>
      <w:r w:rsidRPr="00DA35D2">
        <w:rPr>
          <w:rFonts w:ascii="仿宋_GB2312" w:eastAsia="仿宋_GB2312" w:hAnsi="仿宋" w:hint="eastAsia"/>
          <w:color w:val="000000"/>
          <w:sz w:val="28"/>
          <w:szCs w:val="28"/>
        </w:rPr>
        <w:t>）中的多重失效或在</w:t>
      </w:r>
      <w:r w:rsidRPr="00000E68">
        <w:rPr>
          <w:rFonts w:ascii="仿宋_GB2312" w:eastAsia="仿宋_GB2312" w:hAnsi="仿宋" w:hint="eastAsia"/>
          <w:color w:val="000000"/>
          <w:sz w:val="28"/>
          <w:szCs w:val="28"/>
        </w:rPr>
        <w:t>（e）（2）</w:t>
      </w:r>
      <w:r w:rsidRPr="00DA35D2">
        <w:rPr>
          <w:rFonts w:ascii="仿宋_GB2312" w:eastAsia="仿宋_GB2312" w:hAnsi="仿宋" w:hint="eastAsia"/>
          <w:color w:val="000000"/>
          <w:sz w:val="28"/>
          <w:szCs w:val="28"/>
        </w:rPr>
        <w:t>条中定义的电推进系统灾难性失效。</w:t>
      </w:r>
    </w:p>
    <w:p w14:paraId="7F309BA3"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2</w:t>
      </w:r>
      <w:r w:rsidRPr="00DA35D2">
        <w:rPr>
          <w:rFonts w:ascii="仿宋_GB2312" w:eastAsia="仿宋_GB2312" w:hAnsi="仿宋" w:hint="eastAsia"/>
          <w:color w:val="000000"/>
          <w:sz w:val="28"/>
          <w:szCs w:val="28"/>
        </w:rPr>
        <w:t>）必须总结可能导致本条（e）中定义的电推进系统危险性或灾难性失效，并且估算这些失效发生的概率。在总结中必须确认可能导致电推进系统危险性或灾难性失效的任何电推进系统零件。</w:t>
      </w:r>
    </w:p>
    <w:p w14:paraId="06CFB5FA"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3</w:t>
      </w:r>
      <w:r w:rsidRPr="00DA35D2">
        <w:rPr>
          <w:rFonts w:ascii="仿宋_GB2312" w:eastAsia="仿宋_GB2312" w:hAnsi="仿宋" w:hint="eastAsia"/>
          <w:color w:val="000000"/>
          <w:sz w:val="28"/>
          <w:szCs w:val="28"/>
        </w:rPr>
        <w:t>）电推进系统危险性或灾难性失效发生的概率应满足可接受的安全性水平。</w:t>
      </w:r>
    </w:p>
    <w:p w14:paraId="6984F1BD"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）如果依靠安全系统以防止发生电推进系统灾难性失效，则必须分析安全系统与电推进系统本身共同失效的可能性。这样的安全系统包括安全装置、仪表、告警装置、维修检查和其他类似的设备或程序。</w:t>
      </w:r>
    </w:p>
    <w:p w14:paraId="2C3AC929"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c</w:t>
      </w:r>
      <w:r w:rsidRPr="00DA35D2">
        <w:rPr>
          <w:rFonts w:ascii="仿宋_GB2312" w:eastAsia="仿宋_GB2312" w:hAnsi="仿宋" w:hint="eastAsia"/>
          <w:color w:val="000000"/>
          <w:sz w:val="28"/>
          <w:szCs w:val="28"/>
        </w:rPr>
        <w:t>）如果安全分析取决于下述一项或多项，则必须在分析中给予确认和适当的证明。</w:t>
      </w:r>
    </w:p>
    <w:p w14:paraId="6643FA24"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1</w:t>
      </w:r>
      <w:r w:rsidRPr="00DA35D2">
        <w:rPr>
          <w:rFonts w:ascii="仿宋_GB2312" w:eastAsia="仿宋_GB2312" w:hAnsi="仿宋" w:hint="eastAsia"/>
          <w:color w:val="000000"/>
          <w:sz w:val="28"/>
          <w:szCs w:val="28"/>
        </w:rPr>
        <w:t>）在规定时间间隔内完成维修工作。为防止电推进系统灾难性失效的发生，维修措施和间隔期必须加以规定。另外，如果电推进系统的维修错误，包括电推进控制系统维修的错误，可能导致电推进系统灾难性失效，则必须给出适当的程序；</w:t>
      </w:r>
    </w:p>
    <w:p w14:paraId="58E02585"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2</w:t>
      </w:r>
      <w:r w:rsidRPr="00DA35D2">
        <w:rPr>
          <w:rFonts w:ascii="仿宋_GB2312" w:eastAsia="仿宋_GB2312" w:hAnsi="仿宋" w:hint="eastAsia"/>
          <w:color w:val="000000"/>
          <w:sz w:val="28"/>
          <w:szCs w:val="28"/>
        </w:rPr>
        <w:t>）飞行前或其他规定时间，必须检测安全装置或其他装置能否正常工作，检测要求需在手册中进行规定；</w:t>
      </w:r>
    </w:p>
    <w:p w14:paraId="2A0C557B"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3</w:t>
      </w:r>
      <w:r w:rsidRPr="00DA35D2">
        <w:rPr>
          <w:rFonts w:ascii="仿宋_GB2312" w:eastAsia="仿宋_GB2312" w:hAnsi="仿宋" w:hint="eastAsia"/>
          <w:color w:val="000000"/>
          <w:sz w:val="28"/>
          <w:szCs w:val="28"/>
        </w:rPr>
        <w:t>）飞行手册中规定的飞行机组人员的操作。</w:t>
      </w:r>
    </w:p>
    <w:p w14:paraId="36381452"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e</w:t>
      </w:r>
      <w:r w:rsidRPr="00DA35D2">
        <w:rPr>
          <w:rFonts w:ascii="仿宋_GB2312" w:eastAsia="仿宋_GB2312" w:hAnsi="仿宋" w:hint="eastAsia"/>
          <w:color w:val="000000"/>
          <w:sz w:val="28"/>
          <w:szCs w:val="28"/>
        </w:rPr>
        <w:t>）以下失效定义适用于电推进系统：</w:t>
      </w:r>
    </w:p>
    <w:p w14:paraId="20704FF4"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1</w:t>
      </w:r>
      <w:r w:rsidRPr="00DA35D2">
        <w:rPr>
          <w:rFonts w:ascii="仿宋_GB2312" w:eastAsia="仿宋_GB2312" w:hAnsi="仿宋" w:hint="eastAsia"/>
          <w:color w:val="000000"/>
          <w:sz w:val="28"/>
          <w:szCs w:val="28"/>
        </w:rPr>
        <w:t>）起飞阶段完全丧失动力调节控制是危险的；</w:t>
      </w:r>
    </w:p>
    <w:p w14:paraId="0FB80608"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2</w:t>
      </w:r>
      <w:r w:rsidRPr="00DA35D2">
        <w:rPr>
          <w:rFonts w:ascii="仿宋_GB2312" w:eastAsia="仿宋_GB2312" w:hAnsi="仿宋" w:hint="eastAsia"/>
          <w:color w:val="000000"/>
          <w:sz w:val="28"/>
          <w:szCs w:val="28"/>
        </w:rPr>
        <w:t>）起飞阶段完全丧失飞行动力是灾难性的。</w:t>
      </w:r>
    </w:p>
    <w:p w14:paraId="21CC11D6"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11.外物吸入</w:t>
      </w:r>
    </w:p>
    <w:p w14:paraId="2CD509AC"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从可能来源（异物，鸟，冰，雨，冰雹）的外物吸入不得导致不可接受的功率损失。</w:t>
      </w:r>
    </w:p>
    <w:p w14:paraId="03E0D78A"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12.液体系统</w:t>
      </w:r>
    </w:p>
    <w:p w14:paraId="63B98A9E"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用于冷却电推进系统部件的液体系统必须被设计成在所有飞行姿态和大气条件下电推进系统能够正常运行。</w:t>
      </w:r>
    </w:p>
    <w:p w14:paraId="6007C628"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13.振动试验</w:t>
      </w:r>
    </w:p>
    <w:p w14:paraId="2549E8EA"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电推进系统的设计和构造必须能在其规定的转速和电推进系统输出功率的整个工作范围内（包括规定的超限）正常工作，而不会由于振动在电推进系统的任何零件上产生过大的应力，并且不会对飞机结构施加过大的振动力。</w:t>
      </w:r>
    </w:p>
    <w:p w14:paraId="1F792091"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必须通过试验，分析或其组合来验证电推进系统在整个规定的飞行包线和电推进系统工作范围内，可能会引起振动的部件的振动特性是可接受的。对诱发振动的可能来源进行评估，包括机械的，空气动力学的，声学的或电磁的。</w:t>
      </w:r>
    </w:p>
    <w:p w14:paraId="04E32010"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14.校准试验</w:t>
      </w:r>
    </w:p>
    <w:p w14:paraId="1851C0EF"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在本专用条件下第</w:t>
      </w:r>
      <w:r w:rsidRPr="00DA35D2">
        <w:rPr>
          <w:rFonts w:ascii="仿宋_GB2312" w:eastAsia="仿宋_GB2312" w:hAnsi="Times New Roman" w:cs="Times New Roman" w:hint="eastAsia"/>
          <w:color w:val="000000"/>
          <w:sz w:val="28"/>
          <w:szCs w:val="28"/>
        </w:rPr>
        <w:t>15</w:t>
      </w:r>
      <w:r w:rsidRPr="00DA35D2">
        <w:rPr>
          <w:rFonts w:ascii="仿宋_GB2312" w:eastAsia="仿宋_GB2312" w:hAnsi="仿宋" w:hint="eastAsia"/>
          <w:color w:val="000000"/>
          <w:sz w:val="28"/>
          <w:szCs w:val="28"/>
        </w:rPr>
        <w:t>节指定的耐久性试验之前和之后，必须对每台电推进系统进行校准测试，以确定其功率特性。</w:t>
      </w:r>
    </w:p>
    <w:p w14:paraId="1363505E"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15.耐久性试验</w:t>
      </w:r>
    </w:p>
    <w:p w14:paraId="640EDAD2"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必须完成经批准的耐久性验证试验：</w:t>
      </w:r>
    </w:p>
    <w:p w14:paraId="28ED9EBB" w14:textId="78C9CD59"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00000E68">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）该试验应模拟电推进系统的预期运行条件，包括典型的启停循环。</w:t>
      </w:r>
    </w:p>
    <w:p w14:paraId="3EEF29C0" w14:textId="1F11313F"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00000E68">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）该试验应包括通过调节电推进系统的功率设置使得电推进系统运行在极限状态。</w:t>
      </w:r>
    </w:p>
    <w:p w14:paraId="78217EF7"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16.温度限制</w:t>
      </w:r>
    </w:p>
    <w:p w14:paraId="3810D03A"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电推进系统必须证明其能够在设定的温度限制下安全运行的能力。必须量化和证明每种额定工况下的温度限制，并在所有规定的工作制和额定值下进行验证。</w:t>
      </w:r>
    </w:p>
    <w:p w14:paraId="78111CB4"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17.操作试验</w:t>
      </w:r>
    </w:p>
    <w:p w14:paraId="43872B36"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电推进系统必须在使用限制范围内显示出安全的操作特性，包括但不限于动力循环，加速和超速。规定的电推进系统运行特性必须考虑安装载荷及其影响。</w:t>
      </w:r>
    </w:p>
    <w:p w14:paraId="3391A058"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18.系统和组件试验</w:t>
      </w:r>
    </w:p>
    <w:p w14:paraId="74C10EC1"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必须通过试验证明系统、组件和零件在所有规定的环境和操作条件下完成预期的功能。</w:t>
      </w:r>
    </w:p>
    <w:p w14:paraId="2D600A8F"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19.拆解检查</w:t>
      </w:r>
    </w:p>
    <w:p w14:paraId="5881E0F2"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）拆解评估</w:t>
      </w:r>
    </w:p>
    <w:p w14:paraId="099F8B52"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1</w:t>
      </w:r>
      <w:r w:rsidRPr="00DA35D2">
        <w:rPr>
          <w:rFonts w:ascii="仿宋_GB2312" w:eastAsia="仿宋_GB2312" w:hAnsi="仿宋" w:hint="eastAsia"/>
          <w:color w:val="000000"/>
          <w:sz w:val="28"/>
          <w:szCs w:val="28"/>
        </w:rPr>
        <w:t>）在完成耐久性试验后，必须完全拆解电推进系统。每个电推进系统组件必须符合产品设计并且仍可在电推进系统上继续使用。</w:t>
      </w:r>
    </w:p>
    <w:p w14:paraId="48B06F60"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000E68">
        <w:rPr>
          <w:rFonts w:ascii="仿宋_GB2312" w:eastAsia="仿宋_GB2312" w:hAnsi="仿宋" w:hint="eastAsia"/>
          <w:color w:val="000000"/>
          <w:sz w:val="28"/>
          <w:szCs w:val="28"/>
        </w:rPr>
        <w:t>2</w:t>
      </w:r>
      <w:r w:rsidRPr="00DA35D2">
        <w:rPr>
          <w:rFonts w:ascii="仿宋_GB2312" w:eastAsia="仿宋_GB2312" w:hAnsi="仿宋" w:hint="eastAsia"/>
          <w:color w:val="000000"/>
          <w:sz w:val="28"/>
          <w:szCs w:val="28"/>
        </w:rPr>
        <w:t>）具有调节设置和功能特性的电推进系统设备，其设置值和功能特性必须保持在耐久性试验开始时确定并记录的极限值范围内。</w:t>
      </w:r>
    </w:p>
    <w:p w14:paraId="33ADA49F"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）非拆解评估</w:t>
      </w:r>
    </w:p>
    <w:p w14:paraId="27912D12"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如果未对所有电推进系统部件进行拆解，则只能根据耐久性试验结果确定这些部件的寿命极限。</w:t>
      </w:r>
    </w:p>
    <w:p w14:paraId="077AE60E" w14:textId="77777777" w:rsidR="00B36661" w:rsidRPr="00DA35D2" w:rsidRDefault="003D72F2">
      <w:pPr>
        <w:spacing w:line="360" w:lineRule="auto"/>
        <w:rPr>
          <w:rFonts w:ascii="仿宋_GB2312" w:eastAsia="仿宋_GB2312" w:hAnsi="仿宋" w:cs="Times New Roman"/>
          <w:b/>
          <w:color w:val="000000"/>
          <w:sz w:val="28"/>
          <w:szCs w:val="28"/>
        </w:rPr>
      </w:pPr>
      <w:r w:rsidRPr="00DA35D2">
        <w:rPr>
          <w:rFonts w:ascii="仿宋_GB2312" w:eastAsia="仿宋_GB2312" w:hAnsi="仿宋" w:cs="Times New Roman" w:hint="eastAsia"/>
          <w:b/>
          <w:color w:val="000000"/>
          <w:sz w:val="28"/>
          <w:szCs w:val="28"/>
        </w:rPr>
        <w:t>20.通用试验要求</w:t>
      </w:r>
    </w:p>
    <w:p w14:paraId="10D86AC0"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a</w:t>
      </w:r>
      <w:r w:rsidRPr="00DA35D2">
        <w:rPr>
          <w:rFonts w:ascii="仿宋_GB2312" w:eastAsia="仿宋_GB2312" w:hAnsi="仿宋" w:hint="eastAsia"/>
          <w:color w:val="000000"/>
          <w:sz w:val="28"/>
          <w:szCs w:val="28"/>
        </w:rPr>
        <w:t>）在试验期间电推进系统可以开展必要的维护。</w:t>
      </w:r>
    </w:p>
    <w:p w14:paraId="5983FC0C"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b</w:t>
      </w:r>
      <w:r w:rsidRPr="00DA35D2">
        <w:rPr>
          <w:rFonts w:ascii="仿宋_GB2312" w:eastAsia="仿宋_GB2312" w:hAnsi="仿宋" w:hint="eastAsia"/>
          <w:color w:val="000000"/>
          <w:sz w:val="28"/>
          <w:szCs w:val="28"/>
        </w:rPr>
        <w:t>）在以下情况下，必须对电推进系统或其零件进行维护和必要的额外测试：</w:t>
      </w:r>
    </w:p>
    <w:p w14:paraId="37695052"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（1）使用频率超过规定；</w:t>
      </w:r>
    </w:p>
    <w:p w14:paraId="5E3B2C35"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2</w:t>
      </w:r>
      <w:r w:rsidRPr="00DA35D2">
        <w:rPr>
          <w:rFonts w:ascii="仿宋_GB2312" w:eastAsia="仿宋_GB2312" w:hAnsi="仿宋" w:hint="eastAsia"/>
          <w:color w:val="000000"/>
          <w:sz w:val="28"/>
          <w:szCs w:val="28"/>
        </w:rPr>
        <w:t>）由于电推进系统故障造成的停车次数过多；</w:t>
      </w:r>
    </w:p>
    <w:p w14:paraId="1F1BE5F7"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3</w:t>
      </w:r>
      <w:r w:rsidRPr="00DA35D2">
        <w:rPr>
          <w:rFonts w:ascii="仿宋_GB2312" w:eastAsia="仿宋_GB2312" w:hAnsi="仿宋" w:hint="eastAsia"/>
          <w:color w:val="000000"/>
          <w:sz w:val="28"/>
          <w:szCs w:val="28"/>
        </w:rPr>
        <w:t>）需要重大维修；</w:t>
      </w:r>
    </w:p>
    <w:p w14:paraId="0C52001D" w14:textId="77777777" w:rsidR="00B36661" w:rsidRPr="00DA35D2" w:rsidRDefault="003D72F2" w:rsidP="00000E68">
      <w:pPr>
        <w:spacing w:line="360" w:lineRule="auto"/>
        <w:ind w:firstLineChars="300" w:firstLine="84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4</w:t>
      </w:r>
      <w:r w:rsidRPr="00DA35D2">
        <w:rPr>
          <w:rFonts w:ascii="仿宋_GB2312" w:eastAsia="仿宋_GB2312" w:hAnsi="仿宋" w:hint="eastAsia"/>
          <w:color w:val="000000"/>
          <w:sz w:val="28"/>
          <w:szCs w:val="28"/>
        </w:rPr>
        <w:t>）在测试过程中或由于拆解检查发现有必要更换零件的情况。</w:t>
      </w:r>
    </w:p>
    <w:p w14:paraId="40DB01AC" w14:textId="77777777" w:rsidR="00B36661" w:rsidRPr="00DA35D2" w:rsidRDefault="003D72F2">
      <w:pPr>
        <w:spacing w:line="360" w:lineRule="auto"/>
        <w:ind w:firstLineChars="200" w:firstLine="560"/>
        <w:rPr>
          <w:rFonts w:ascii="仿宋_GB2312" w:eastAsia="仿宋_GB2312" w:hAnsi="仿宋"/>
          <w:color w:val="000000"/>
          <w:sz w:val="28"/>
          <w:szCs w:val="28"/>
        </w:rPr>
      </w:pPr>
      <w:r w:rsidRPr="00DA35D2">
        <w:rPr>
          <w:rFonts w:ascii="仿宋_GB2312" w:eastAsia="仿宋_GB2312" w:hAnsi="仿宋" w:hint="eastAsia"/>
          <w:color w:val="000000"/>
          <w:sz w:val="28"/>
          <w:szCs w:val="28"/>
        </w:rPr>
        <w:t>（</w:t>
      </w:r>
      <w:r w:rsidRPr="00DA35D2">
        <w:rPr>
          <w:rFonts w:ascii="仿宋_GB2312" w:eastAsia="仿宋_GB2312" w:hAnsi="Times New Roman" w:cs="Times New Roman" w:hint="eastAsia"/>
          <w:color w:val="000000"/>
          <w:sz w:val="28"/>
          <w:szCs w:val="28"/>
        </w:rPr>
        <w:t>c</w:t>
      </w:r>
      <w:r w:rsidRPr="00DA35D2">
        <w:rPr>
          <w:rFonts w:ascii="仿宋_GB2312" w:eastAsia="仿宋_GB2312" w:hAnsi="仿宋" w:hint="eastAsia"/>
          <w:color w:val="000000"/>
          <w:sz w:val="28"/>
          <w:szCs w:val="28"/>
        </w:rPr>
        <w:t>）在本专用条件下规定的所有验证和测试完成后，电推进系统及其零部件必须可以继续使用并保证安全性。</w:t>
      </w:r>
    </w:p>
    <w:p w14:paraId="2CDBF29C" w14:textId="77777777" w:rsidR="00B36661" w:rsidRPr="00DA35D2" w:rsidRDefault="00B36661">
      <w:pPr>
        <w:pStyle w:val="Default"/>
        <w:spacing w:line="360" w:lineRule="auto"/>
        <w:rPr>
          <w:sz w:val="28"/>
          <w:szCs w:val="28"/>
        </w:rPr>
      </w:pPr>
    </w:p>
    <w:p w14:paraId="0CF71D52" w14:textId="77777777" w:rsidR="00B36661" w:rsidRPr="00DA35D2" w:rsidRDefault="003D72F2">
      <w:pPr>
        <w:pStyle w:val="Default"/>
        <w:spacing w:line="360" w:lineRule="auto"/>
        <w:rPr>
          <w:sz w:val="28"/>
          <w:szCs w:val="28"/>
        </w:rPr>
        <w:sectPr w:rsidR="00B36661" w:rsidRPr="00DA35D2">
          <w:footerReference w:type="default" r:id="rId8"/>
          <w:pgSz w:w="11906" w:h="16838"/>
          <w:pgMar w:top="1440" w:right="1800" w:bottom="1440" w:left="1800" w:header="851" w:footer="992" w:gutter="0"/>
          <w:cols w:space="425"/>
          <w:docGrid w:type="lines" w:linePitch="312"/>
        </w:sectPr>
      </w:pPr>
      <w:r w:rsidRPr="00DA35D2">
        <w:rPr>
          <w:rFonts w:hint="eastAsia"/>
          <w:sz w:val="28"/>
          <w:szCs w:val="28"/>
        </w:rPr>
        <w:t>附：《颁发专用条件/批准豁免反馈意见表》（</w:t>
      </w:r>
      <w:r w:rsidRPr="00DA35D2">
        <w:rPr>
          <w:rFonts w:hAnsi="Times New Roman" w:cs="Times New Roman" w:hint="eastAsia"/>
          <w:sz w:val="28"/>
          <w:szCs w:val="28"/>
        </w:rPr>
        <w:t>CAAC</w:t>
      </w:r>
      <w:r w:rsidRPr="00DA35D2">
        <w:rPr>
          <w:rFonts w:hint="eastAsia"/>
          <w:sz w:val="28"/>
          <w:szCs w:val="28"/>
        </w:rPr>
        <w:t xml:space="preserve"> 表 </w:t>
      </w:r>
      <w:r w:rsidRPr="00DA35D2">
        <w:rPr>
          <w:rFonts w:hAnsi="Times New Roman" w:cs="Times New Roman" w:hint="eastAsia"/>
          <w:sz w:val="28"/>
          <w:szCs w:val="28"/>
        </w:rPr>
        <w:t>AAC-267</w:t>
      </w:r>
      <w:r w:rsidRPr="00DA35D2">
        <w:rPr>
          <w:rFonts w:hint="eastAsia"/>
          <w:sz w:val="28"/>
          <w:szCs w:val="28"/>
        </w:rPr>
        <w:t>）</w:t>
      </w:r>
    </w:p>
    <w:p w14:paraId="7F2C93AC" w14:textId="77777777" w:rsidR="00B36661" w:rsidRPr="0064719E" w:rsidRDefault="003D72F2">
      <w:pPr>
        <w:jc w:val="center"/>
        <w:rPr>
          <w:rFonts w:ascii="方正小标宋简体" w:eastAsia="方正小标宋简体" w:hAnsi="Times New Roman"/>
          <w:color w:val="000000"/>
          <w:sz w:val="32"/>
          <w:szCs w:val="32"/>
        </w:rPr>
      </w:pPr>
      <w:r w:rsidRPr="0064719E">
        <w:rPr>
          <w:rFonts w:ascii="方正小标宋简体" w:eastAsia="方正小标宋简体" w:hAnsi="Times New Roman" w:hint="eastAsia"/>
          <w:color w:val="000000"/>
          <w:sz w:val="32"/>
          <w:szCs w:val="32"/>
        </w:rPr>
        <w:t>颁发专用条件</w:t>
      </w:r>
      <w:r w:rsidRPr="0064719E">
        <w:rPr>
          <w:rFonts w:ascii="方正小标宋简体" w:eastAsia="方正小标宋简体" w:hAnsi="Times New Roman"/>
          <w:color w:val="000000"/>
          <w:sz w:val="32"/>
          <w:szCs w:val="32"/>
        </w:rPr>
        <w:t>/</w:t>
      </w:r>
      <w:r w:rsidRPr="0064719E">
        <w:rPr>
          <w:rFonts w:ascii="方正小标宋简体" w:eastAsia="方正小标宋简体" w:hAnsi="Times New Roman" w:hint="eastAsia"/>
          <w:color w:val="000000"/>
          <w:sz w:val="32"/>
          <w:szCs w:val="32"/>
        </w:rPr>
        <w:t>批准豁免反馈意见表</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934"/>
        <w:gridCol w:w="196"/>
        <w:gridCol w:w="6198"/>
      </w:tblGrid>
      <w:tr w:rsidR="00B36661" w:rsidRPr="00DA35D2" w14:paraId="435BEF2B" w14:textId="77777777">
        <w:trPr>
          <w:jc w:val="center"/>
        </w:trPr>
        <w:tc>
          <w:tcPr>
            <w:tcW w:w="956" w:type="dxa"/>
          </w:tcPr>
          <w:p w14:paraId="6C2A3939" w14:textId="77777777" w:rsidR="00B36661" w:rsidRPr="00DA35D2" w:rsidRDefault="003D72F2">
            <w:pPr>
              <w:spacing w:line="360" w:lineRule="auto"/>
              <w:rPr>
                <w:rFonts w:ascii="仿宋_GB2312" w:eastAsia="仿宋_GB2312" w:hAnsi="Times New Roman"/>
                <w:color w:val="000000"/>
                <w:szCs w:val="21"/>
              </w:rPr>
            </w:pPr>
            <w:r w:rsidRPr="00DA35D2">
              <w:rPr>
                <w:rFonts w:ascii="仿宋_GB2312" w:eastAsia="仿宋_GB2312" w:hAnsi="Times New Roman" w:hint="eastAsia"/>
                <w:color w:val="000000"/>
                <w:szCs w:val="21"/>
              </w:rPr>
              <w:t>类别</w:t>
            </w:r>
          </w:p>
        </w:tc>
        <w:tc>
          <w:tcPr>
            <w:tcW w:w="7328" w:type="dxa"/>
            <w:gridSpan w:val="3"/>
          </w:tcPr>
          <w:p w14:paraId="2AE236C5" w14:textId="77777777" w:rsidR="00B36661" w:rsidRPr="00DA35D2" w:rsidRDefault="003D72F2">
            <w:pPr>
              <w:spacing w:line="360" w:lineRule="auto"/>
              <w:jc w:val="center"/>
              <w:rPr>
                <w:rFonts w:ascii="仿宋_GB2312" w:eastAsia="仿宋_GB2312" w:hAnsi="仿宋"/>
                <w:color w:val="000000"/>
                <w:szCs w:val="21"/>
              </w:rPr>
            </w:pPr>
            <w:r w:rsidRPr="00DA35D2">
              <w:rPr>
                <w:rFonts w:ascii="仿宋_GB2312" w:eastAsia="仿宋_GB2312" w:hint="eastAsia"/>
                <w:color w:val="000000"/>
                <w:szCs w:val="21"/>
              </w:rPr>
              <w:sym w:font="Wingdings 2" w:char="F054"/>
            </w:r>
            <w:r w:rsidRPr="00DA35D2">
              <w:rPr>
                <w:rFonts w:ascii="仿宋_GB2312" w:eastAsia="仿宋_GB2312" w:hAnsi="仿宋" w:hint="eastAsia"/>
                <w:color w:val="000000"/>
                <w:szCs w:val="21"/>
              </w:rPr>
              <w:t>颁发专用条件□批准豁免</w:t>
            </w:r>
          </w:p>
        </w:tc>
      </w:tr>
      <w:tr w:rsidR="00B36661" w:rsidRPr="00DA35D2" w14:paraId="4F06E81B" w14:textId="77777777">
        <w:trPr>
          <w:jc w:val="center"/>
        </w:trPr>
        <w:tc>
          <w:tcPr>
            <w:tcW w:w="2086" w:type="dxa"/>
            <w:gridSpan w:val="3"/>
          </w:tcPr>
          <w:p w14:paraId="38F32907" w14:textId="77777777" w:rsidR="00B36661" w:rsidRPr="00DA35D2" w:rsidRDefault="003D72F2">
            <w:pPr>
              <w:spacing w:line="360" w:lineRule="auto"/>
              <w:rPr>
                <w:rFonts w:ascii="仿宋_GB2312" w:eastAsia="仿宋_GB2312" w:hAnsi="Times New Roman"/>
                <w:color w:val="000000"/>
                <w:szCs w:val="21"/>
              </w:rPr>
            </w:pPr>
            <w:r w:rsidRPr="00DA35D2">
              <w:rPr>
                <w:rFonts w:ascii="仿宋_GB2312" w:eastAsia="仿宋_GB2312" w:hAnsi="Times New Roman" w:hint="eastAsia"/>
                <w:color w:val="000000"/>
                <w:szCs w:val="21"/>
              </w:rPr>
              <w:t>征求意见稿编号</w:t>
            </w:r>
          </w:p>
        </w:tc>
        <w:tc>
          <w:tcPr>
            <w:tcW w:w="6198" w:type="dxa"/>
          </w:tcPr>
          <w:p w14:paraId="6379B44D" w14:textId="6E03E5EE" w:rsidR="00B36661" w:rsidRPr="00DA35D2" w:rsidRDefault="00A66EB4" w:rsidP="00A66EB4">
            <w:pPr>
              <w:spacing w:line="360" w:lineRule="auto"/>
              <w:rPr>
                <w:rFonts w:ascii="仿宋_GB2312" w:eastAsia="仿宋_GB2312" w:hAnsi="Times New Roman"/>
                <w:color w:val="000000"/>
                <w:szCs w:val="21"/>
              </w:rPr>
            </w:pPr>
            <w:r w:rsidRPr="00A66EB4">
              <w:rPr>
                <w:rFonts w:ascii="仿宋_GB2312" w:eastAsia="仿宋_GB2312" w:hAnsi="Times New Roman"/>
                <w:color w:val="000000"/>
                <w:szCs w:val="21"/>
              </w:rPr>
              <w:t>PSC-23-14</w:t>
            </w:r>
          </w:p>
        </w:tc>
      </w:tr>
      <w:tr w:rsidR="00B36661" w:rsidRPr="00DA35D2" w14:paraId="2B54AA0E" w14:textId="77777777">
        <w:trPr>
          <w:jc w:val="center"/>
        </w:trPr>
        <w:tc>
          <w:tcPr>
            <w:tcW w:w="1890" w:type="dxa"/>
            <w:gridSpan w:val="2"/>
          </w:tcPr>
          <w:p w14:paraId="5703307E" w14:textId="77777777" w:rsidR="00B36661" w:rsidRPr="00DA35D2" w:rsidRDefault="003D72F2">
            <w:pPr>
              <w:spacing w:line="360" w:lineRule="auto"/>
              <w:rPr>
                <w:rFonts w:ascii="仿宋_GB2312" w:eastAsia="仿宋_GB2312" w:hAnsi="Times New Roman"/>
                <w:color w:val="000000"/>
                <w:szCs w:val="21"/>
              </w:rPr>
            </w:pPr>
            <w:r w:rsidRPr="00DA35D2">
              <w:rPr>
                <w:rFonts w:ascii="仿宋_GB2312" w:eastAsia="仿宋_GB2312" w:hAnsi="Times New Roman" w:hint="eastAsia"/>
                <w:color w:val="000000"/>
                <w:szCs w:val="21"/>
              </w:rPr>
              <w:t>航空产品型号</w:t>
            </w:r>
          </w:p>
        </w:tc>
        <w:tc>
          <w:tcPr>
            <w:tcW w:w="6394" w:type="dxa"/>
            <w:gridSpan w:val="2"/>
          </w:tcPr>
          <w:p w14:paraId="30684610" w14:textId="77777777" w:rsidR="00B36661" w:rsidRPr="00DA35D2" w:rsidRDefault="003D72F2">
            <w:pPr>
              <w:spacing w:line="360" w:lineRule="auto"/>
              <w:rPr>
                <w:rFonts w:ascii="仿宋_GB2312" w:eastAsia="仿宋_GB2312" w:hAnsi="Times New Roman"/>
                <w:color w:val="000000"/>
                <w:szCs w:val="21"/>
              </w:rPr>
            </w:pPr>
            <w:r w:rsidRPr="00DA35D2">
              <w:rPr>
                <w:rFonts w:ascii="仿宋_GB2312" w:eastAsia="仿宋_GB2312" w:hAnsi="Times New Roman" w:hint="eastAsia"/>
                <w:color w:val="000000"/>
                <w:szCs w:val="21"/>
              </w:rPr>
              <w:t>RX4E</w:t>
            </w:r>
          </w:p>
        </w:tc>
      </w:tr>
      <w:tr w:rsidR="00B36661" w:rsidRPr="00DA35D2" w14:paraId="04EA553F" w14:textId="77777777">
        <w:trPr>
          <w:jc w:val="center"/>
        </w:trPr>
        <w:tc>
          <w:tcPr>
            <w:tcW w:w="8284" w:type="dxa"/>
            <w:gridSpan w:val="4"/>
          </w:tcPr>
          <w:p w14:paraId="6A0CB78C" w14:textId="77777777" w:rsidR="00B36661" w:rsidRPr="00DA35D2" w:rsidRDefault="003D72F2">
            <w:pPr>
              <w:spacing w:line="360" w:lineRule="auto"/>
              <w:jc w:val="left"/>
              <w:rPr>
                <w:rFonts w:ascii="仿宋_GB2312" w:eastAsia="仿宋_GB2312" w:hAnsi="Times New Roman"/>
                <w:color w:val="000000"/>
                <w:szCs w:val="21"/>
              </w:rPr>
            </w:pPr>
            <w:r w:rsidRPr="00DA35D2">
              <w:rPr>
                <w:rFonts w:ascii="仿宋_GB2312" w:eastAsia="仿宋_GB2312" w:hAnsi="Times New Roman" w:hint="eastAsia"/>
                <w:color w:val="000000"/>
                <w:szCs w:val="21"/>
              </w:rPr>
              <w:t>相关的适航规章和/或环保要求</w:t>
            </w:r>
          </w:p>
        </w:tc>
      </w:tr>
      <w:tr w:rsidR="00B36661" w:rsidRPr="00DA35D2" w14:paraId="048BE354" w14:textId="77777777">
        <w:trPr>
          <w:trHeight w:val="1791"/>
          <w:jc w:val="center"/>
        </w:trPr>
        <w:tc>
          <w:tcPr>
            <w:tcW w:w="8284" w:type="dxa"/>
            <w:gridSpan w:val="4"/>
          </w:tcPr>
          <w:p w14:paraId="2CD50E21" w14:textId="4396013B" w:rsidR="00B36661" w:rsidRPr="00DA35D2" w:rsidRDefault="00A66EB4">
            <w:pPr>
              <w:spacing w:line="360" w:lineRule="auto"/>
              <w:rPr>
                <w:rFonts w:ascii="仿宋_GB2312" w:eastAsia="仿宋_GB2312" w:hAnsi="Times New Roman"/>
                <w:color w:val="000000"/>
                <w:szCs w:val="21"/>
              </w:rPr>
            </w:pPr>
            <w:r w:rsidRPr="00A66EB4">
              <w:rPr>
                <w:rFonts w:ascii="仿宋_GB2312" w:eastAsia="仿宋_GB2312" w:hAnsi="Times New Roman" w:hint="eastAsia"/>
                <w:color w:val="000000"/>
                <w:szCs w:val="21"/>
              </w:rPr>
              <w:t>（</w:t>
            </w:r>
            <w:r w:rsidRPr="00A66EB4">
              <w:rPr>
                <w:rFonts w:ascii="仿宋_GB2312" w:eastAsia="仿宋_GB2312" w:hAnsi="Times New Roman"/>
                <w:color w:val="000000"/>
                <w:szCs w:val="21"/>
              </w:rPr>
              <w:t>CCAR-23-R4）第23.2700</w:t>
            </w:r>
            <w:r>
              <w:rPr>
                <w:rFonts w:ascii="仿宋_GB2312" w:eastAsia="仿宋_GB2312" w:hAnsi="Times New Roman" w:hint="eastAsia"/>
                <w:color w:val="000000"/>
                <w:szCs w:val="21"/>
              </w:rPr>
              <w:t>条</w:t>
            </w:r>
          </w:p>
        </w:tc>
      </w:tr>
      <w:tr w:rsidR="00B36661" w:rsidRPr="00DA35D2" w14:paraId="6C0EA623" w14:textId="77777777">
        <w:trPr>
          <w:jc w:val="center"/>
        </w:trPr>
        <w:tc>
          <w:tcPr>
            <w:tcW w:w="8284" w:type="dxa"/>
            <w:gridSpan w:val="4"/>
          </w:tcPr>
          <w:p w14:paraId="059CD11B" w14:textId="77777777" w:rsidR="00B36661" w:rsidRPr="00DA35D2" w:rsidRDefault="003D72F2">
            <w:pPr>
              <w:spacing w:line="360" w:lineRule="auto"/>
              <w:jc w:val="left"/>
              <w:rPr>
                <w:rFonts w:ascii="仿宋_GB2312" w:eastAsia="仿宋_GB2312" w:hAnsi="Times New Roman"/>
                <w:color w:val="000000"/>
                <w:szCs w:val="21"/>
              </w:rPr>
            </w:pPr>
            <w:r w:rsidRPr="00DA35D2">
              <w:rPr>
                <w:rFonts w:ascii="仿宋_GB2312" w:eastAsia="仿宋_GB2312" w:hAnsi="Times New Roman" w:hint="eastAsia"/>
                <w:color w:val="000000"/>
                <w:szCs w:val="21"/>
              </w:rPr>
              <w:t>意见或建议</w:t>
            </w:r>
          </w:p>
        </w:tc>
      </w:tr>
      <w:tr w:rsidR="00B36661" w:rsidRPr="00DA35D2" w14:paraId="2774CC28" w14:textId="77777777">
        <w:trPr>
          <w:trHeight w:val="4948"/>
          <w:jc w:val="center"/>
        </w:trPr>
        <w:tc>
          <w:tcPr>
            <w:tcW w:w="8284" w:type="dxa"/>
            <w:gridSpan w:val="4"/>
          </w:tcPr>
          <w:p w14:paraId="090888CD" w14:textId="77777777" w:rsidR="00B36661" w:rsidRPr="00DA35D2" w:rsidRDefault="00B36661">
            <w:pPr>
              <w:spacing w:line="360" w:lineRule="auto"/>
              <w:jc w:val="center"/>
              <w:rPr>
                <w:rFonts w:ascii="仿宋_GB2312" w:eastAsia="仿宋_GB2312" w:hAnsi="Times New Roman"/>
                <w:color w:val="000000"/>
                <w:szCs w:val="21"/>
              </w:rPr>
            </w:pPr>
          </w:p>
        </w:tc>
      </w:tr>
      <w:tr w:rsidR="00B36661" w:rsidRPr="00DA35D2" w14:paraId="0A0F4D57" w14:textId="77777777">
        <w:trPr>
          <w:jc w:val="center"/>
        </w:trPr>
        <w:tc>
          <w:tcPr>
            <w:tcW w:w="8284" w:type="dxa"/>
            <w:gridSpan w:val="4"/>
          </w:tcPr>
          <w:p w14:paraId="46C8F066" w14:textId="77777777" w:rsidR="00B36661" w:rsidRPr="00DA35D2" w:rsidRDefault="00B36661">
            <w:pPr>
              <w:spacing w:line="360" w:lineRule="auto"/>
              <w:rPr>
                <w:rFonts w:ascii="仿宋_GB2312" w:eastAsia="仿宋_GB2312" w:hAnsi="Times New Roman"/>
                <w:color w:val="000000"/>
                <w:szCs w:val="21"/>
              </w:rPr>
            </w:pPr>
          </w:p>
          <w:p w14:paraId="25BB590A" w14:textId="77777777" w:rsidR="00B36661" w:rsidRPr="00DA35D2" w:rsidRDefault="003D72F2">
            <w:pPr>
              <w:spacing w:line="360" w:lineRule="auto"/>
              <w:rPr>
                <w:rFonts w:ascii="仿宋_GB2312" w:eastAsia="仿宋_GB2312" w:hAnsi="Times New Roman"/>
                <w:color w:val="000000"/>
                <w:szCs w:val="21"/>
              </w:rPr>
            </w:pPr>
            <w:r w:rsidRPr="00DA35D2">
              <w:rPr>
                <w:rFonts w:ascii="仿宋_GB2312" w:eastAsia="仿宋_GB2312" w:hAnsi="Times New Roman" w:hint="eastAsia"/>
                <w:color w:val="000000"/>
                <w:szCs w:val="21"/>
              </w:rPr>
              <w:t>姓名：（印刷体）（签名）</w:t>
            </w:r>
          </w:p>
          <w:p w14:paraId="1F53A243" w14:textId="77777777" w:rsidR="00B36661" w:rsidRPr="00DA35D2" w:rsidRDefault="003D72F2">
            <w:pPr>
              <w:spacing w:line="360" w:lineRule="auto"/>
              <w:rPr>
                <w:rFonts w:ascii="仿宋_GB2312" w:eastAsia="仿宋_GB2312" w:hAnsi="Times New Roman"/>
                <w:color w:val="000000"/>
                <w:szCs w:val="21"/>
                <w:u w:val="single"/>
              </w:rPr>
            </w:pPr>
            <w:r w:rsidRPr="00DA35D2">
              <w:rPr>
                <w:rFonts w:ascii="仿宋_GB2312" w:eastAsia="仿宋_GB2312" w:hAnsi="Times New Roman" w:hint="eastAsia"/>
                <w:color w:val="000000"/>
                <w:szCs w:val="21"/>
              </w:rPr>
              <w:t>电话：</w:t>
            </w:r>
            <w:r w:rsidR="00D103BC" w:rsidRPr="00DA35D2">
              <w:rPr>
                <w:rFonts w:ascii="仿宋_GB2312" w:eastAsia="仿宋_GB2312" w:hAnsi="Times New Roman" w:hint="eastAsia"/>
                <w:color w:val="000000"/>
                <w:szCs w:val="21"/>
              </w:rPr>
              <w:t xml:space="preserve">                   </w:t>
            </w:r>
            <w:r w:rsidRPr="00DA35D2">
              <w:rPr>
                <w:rFonts w:ascii="仿宋_GB2312" w:eastAsia="仿宋_GB2312" w:hAnsi="Times New Roman" w:hint="eastAsia"/>
                <w:color w:val="000000"/>
                <w:szCs w:val="21"/>
              </w:rPr>
              <w:t>传真：</w:t>
            </w:r>
            <w:r w:rsidR="00D103BC" w:rsidRPr="00DA35D2">
              <w:rPr>
                <w:rFonts w:ascii="仿宋_GB2312" w:eastAsia="仿宋_GB2312" w:hAnsi="Times New Roman" w:hint="eastAsia"/>
                <w:color w:val="000000"/>
                <w:szCs w:val="21"/>
              </w:rPr>
              <w:t xml:space="preserve">               </w:t>
            </w:r>
            <w:r w:rsidRPr="00DA35D2">
              <w:rPr>
                <w:rFonts w:ascii="仿宋_GB2312" w:eastAsia="仿宋_GB2312" w:hAnsi="Times New Roman" w:hint="eastAsia"/>
                <w:color w:val="000000"/>
                <w:szCs w:val="21"/>
              </w:rPr>
              <w:t>电子邮箱：</w:t>
            </w:r>
          </w:p>
          <w:p w14:paraId="66849EB5" w14:textId="77777777" w:rsidR="00B36661" w:rsidRPr="00DA35D2" w:rsidRDefault="003D72F2">
            <w:pPr>
              <w:spacing w:line="360" w:lineRule="auto"/>
              <w:rPr>
                <w:rFonts w:ascii="仿宋_GB2312" w:eastAsia="仿宋_GB2312" w:hAnsi="Times New Roman"/>
                <w:color w:val="000000"/>
                <w:szCs w:val="21"/>
                <w:u w:val="single"/>
              </w:rPr>
            </w:pPr>
            <w:r w:rsidRPr="00DA35D2">
              <w:rPr>
                <w:rFonts w:ascii="仿宋_GB2312" w:eastAsia="仿宋_GB2312" w:hAnsi="Times New Roman" w:hint="eastAsia"/>
                <w:color w:val="000000"/>
                <w:szCs w:val="21"/>
              </w:rPr>
              <w:t>通信地址：</w:t>
            </w:r>
          </w:p>
          <w:p w14:paraId="08C972B4" w14:textId="77777777" w:rsidR="00B36661" w:rsidRPr="00DA35D2" w:rsidRDefault="003D72F2">
            <w:pPr>
              <w:spacing w:line="360" w:lineRule="auto"/>
              <w:rPr>
                <w:rFonts w:ascii="仿宋_GB2312" w:eastAsia="仿宋_GB2312" w:hAnsi="Times New Roman"/>
                <w:color w:val="000000"/>
                <w:szCs w:val="21"/>
                <w:u w:val="single"/>
              </w:rPr>
            </w:pPr>
            <w:r w:rsidRPr="00DA35D2">
              <w:rPr>
                <w:rFonts w:ascii="仿宋_GB2312" w:eastAsia="仿宋_GB2312" w:hAnsi="Times New Roman" w:hint="eastAsia"/>
                <w:color w:val="000000"/>
                <w:szCs w:val="21"/>
              </w:rPr>
              <w:t>日期：</w:t>
            </w:r>
          </w:p>
          <w:p w14:paraId="33421AEA" w14:textId="77777777" w:rsidR="00B36661" w:rsidRPr="00DA35D2" w:rsidRDefault="00B36661">
            <w:pPr>
              <w:spacing w:line="360" w:lineRule="auto"/>
              <w:rPr>
                <w:rFonts w:ascii="仿宋_GB2312" w:eastAsia="仿宋_GB2312" w:hAnsi="Times New Roman"/>
                <w:color w:val="000000"/>
                <w:szCs w:val="21"/>
                <w:u w:val="single"/>
              </w:rPr>
            </w:pPr>
          </w:p>
        </w:tc>
      </w:tr>
    </w:tbl>
    <w:p w14:paraId="0816BD47" w14:textId="77777777" w:rsidR="00B36661" w:rsidRPr="00DA35D2" w:rsidRDefault="003D72F2">
      <w:pPr>
        <w:rPr>
          <w:rFonts w:ascii="仿宋_GB2312" w:eastAsia="仿宋_GB2312" w:hAnsi="Times New Roman"/>
          <w:color w:val="000000"/>
          <w:szCs w:val="21"/>
        </w:rPr>
      </w:pPr>
      <w:r w:rsidRPr="00DA35D2">
        <w:rPr>
          <w:rFonts w:ascii="仿宋_GB2312" w:eastAsia="仿宋_GB2312" w:hAnsi="Times New Roman" w:hint="eastAsia"/>
          <w:color w:val="000000"/>
          <w:szCs w:val="21"/>
        </w:rPr>
        <w:t>CAAC表AAC-267(11/2012)</w:t>
      </w:r>
    </w:p>
    <w:sectPr w:rsidR="00B36661" w:rsidRPr="00DA35D2">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EE64" w14:textId="77777777" w:rsidR="007305FA" w:rsidRDefault="007305FA">
      <w:r>
        <w:separator/>
      </w:r>
    </w:p>
  </w:endnote>
  <w:endnote w:type="continuationSeparator" w:id="0">
    <w:p w14:paraId="4F0691A4" w14:textId="77777777" w:rsidR="007305FA" w:rsidRDefault="0073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ACCA" w14:textId="034838B7" w:rsidR="0064719E" w:rsidRPr="001E232F" w:rsidRDefault="0064719E" w:rsidP="0064719E">
    <w:pPr>
      <w:pStyle w:val="a7"/>
      <w:jc w:val="center"/>
      <w:rPr>
        <w:rFonts w:ascii="仿宋_GB2312" w:eastAsia="仿宋_GB2312"/>
        <w:sz w:val="24"/>
        <w:szCs w:val="24"/>
      </w:rPr>
    </w:pPr>
    <w:r w:rsidRPr="001E232F">
      <w:rPr>
        <w:rFonts w:ascii="仿宋_GB2312" w:eastAsia="仿宋_GB2312" w:hint="eastAsia"/>
        <w:sz w:val="24"/>
        <w:szCs w:val="24"/>
      </w:rPr>
      <w:fldChar w:fldCharType="begin"/>
    </w:r>
    <w:r w:rsidRPr="001E232F">
      <w:rPr>
        <w:rFonts w:ascii="仿宋_GB2312" w:eastAsia="仿宋_GB2312" w:hint="eastAsia"/>
        <w:sz w:val="24"/>
        <w:szCs w:val="24"/>
      </w:rPr>
      <w:instrText>PAGE  \* Arabic  \* MERGEFORMAT</w:instrText>
    </w:r>
    <w:r w:rsidRPr="001E232F">
      <w:rPr>
        <w:rFonts w:ascii="仿宋_GB2312" w:eastAsia="仿宋_GB2312" w:hint="eastAsia"/>
        <w:sz w:val="24"/>
        <w:szCs w:val="24"/>
      </w:rPr>
      <w:fldChar w:fldCharType="separate"/>
    </w:r>
    <w:r w:rsidRPr="001E232F">
      <w:rPr>
        <w:rFonts w:ascii="仿宋_GB2312" w:eastAsia="仿宋_GB2312" w:hint="eastAsia"/>
        <w:sz w:val="24"/>
        <w:szCs w:val="24"/>
        <w:lang w:val="zh-CN"/>
      </w:rPr>
      <w:t>1</w:t>
    </w:r>
    <w:r w:rsidRPr="001E232F">
      <w:rPr>
        <w:rFonts w:ascii="仿宋_GB2312" w:eastAsia="仿宋_GB2312" w:hint="eastAsia"/>
        <w:sz w:val="24"/>
        <w:szCs w:val="24"/>
      </w:rPr>
      <w:fldChar w:fldCharType="end"/>
    </w:r>
    <w:r w:rsidRPr="001E232F">
      <w:rPr>
        <w:rFonts w:ascii="仿宋_GB2312" w:eastAsia="仿宋_GB2312" w:hint="eastAsia"/>
        <w:sz w:val="24"/>
        <w:szCs w:val="24"/>
        <w:lang w:val="zh-CN"/>
      </w:rPr>
      <w:t xml:space="preserve"> / </w:t>
    </w:r>
    <w:r w:rsidRPr="001E232F">
      <w:rPr>
        <w:rFonts w:ascii="仿宋_GB2312" w:eastAsia="仿宋_GB2312" w:hint="eastAsia"/>
        <w:sz w:val="24"/>
        <w:szCs w:val="24"/>
      </w:rPr>
      <w:fldChar w:fldCharType="begin"/>
    </w:r>
    <w:r w:rsidRPr="001E232F">
      <w:rPr>
        <w:rFonts w:ascii="仿宋_GB2312" w:eastAsia="仿宋_GB2312" w:hint="eastAsia"/>
        <w:sz w:val="24"/>
        <w:szCs w:val="24"/>
      </w:rPr>
      <w:instrText>NUMPAGES  \* Arabic  \* MERGEFORMAT</w:instrText>
    </w:r>
    <w:r w:rsidRPr="001E232F">
      <w:rPr>
        <w:rFonts w:ascii="仿宋_GB2312" w:eastAsia="仿宋_GB2312" w:hint="eastAsia"/>
        <w:sz w:val="24"/>
        <w:szCs w:val="24"/>
      </w:rPr>
      <w:fldChar w:fldCharType="separate"/>
    </w:r>
    <w:r w:rsidRPr="001E232F">
      <w:rPr>
        <w:rFonts w:ascii="仿宋_GB2312" w:eastAsia="仿宋_GB2312" w:hint="eastAsia"/>
        <w:sz w:val="24"/>
        <w:szCs w:val="24"/>
        <w:lang w:val="zh-CN"/>
      </w:rPr>
      <w:t>2</w:t>
    </w:r>
    <w:r w:rsidRPr="001E232F">
      <w:rPr>
        <w:rFonts w:ascii="仿宋_GB2312" w:eastAsia="仿宋_GB2312" w:hint="eastAsia"/>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48E2" w14:textId="77777777" w:rsidR="00B36661" w:rsidRDefault="00B3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E31" w14:textId="77777777" w:rsidR="007305FA" w:rsidRDefault="007305FA">
      <w:r>
        <w:separator/>
      </w:r>
    </w:p>
  </w:footnote>
  <w:footnote w:type="continuationSeparator" w:id="0">
    <w:p w14:paraId="4F8F7E04" w14:textId="77777777" w:rsidR="007305FA" w:rsidRDefault="00730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E127" w14:textId="77777777" w:rsidR="00B36661" w:rsidRDefault="00B36661">
    <w:pPr>
      <w:pStyle w:val="a9"/>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7FE5F0"/>
    <w:multiLevelType w:val="singleLevel"/>
    <w:tmpl w:val="BE7FE5F0"/>
    <w:lvl w:ilvl="0">
      <w:start w:val="1"/>
      <w:numFmt w:val="decimal"/>
      <w:suff w:val="nothing"/>
      <w:lvlText w:val="（%1）"/>
      <w:lvlJc w:val="left"/>
    </w:lvl>
  </w:abstractNum>
  <w:abstractNum w:abstractNumId="1" w15:restartNumberingAfterBreak="0">
    <w:nsid w:val="03EB0958"/>
    <w:multiLevelType w:val="multilevel"/>
    <w:tmpl w:val="03EB09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5E5BD1"/>
    <w:multiLevelType w:val="multilevel"/>
    <w:tmpl w:val="A756317C"/>
    <w:lvl w:ilvl="0">
      <w:start w:val="1"/>
      <w:numFmt w:val="lowerLetter"/>
      <w:suff w:val="space"/>
      <w:lvlText w:val="（%1）"/>
      <w:lvlJc w:val="left"/>
      <w:rPr>
        <w:rFonts w:ascii="Times New Roman" w:hAnsi="Times New Roman" w:cs="Times New Roman" w:hint="default"/>
        <w:lang w:val="en-US"/>
      </w:rPr>
    </w:lvl>
    <w:lvl w:ilvl="1">
      <w:start w:val="1"/>
      <w:numFmt w:val="lowerLetter"/>
      <w:lvlText w:val="%2)"/>
      <w:lvlJc w:val="left"/>
      <w:pPr>
        <w:tabs>
          <w:tab w:val="left" w:pos="4669"/>
        </w:tabs>
        <w:ind w:left="4669" w:hanging="420"/>
      </w:pPr>
      <w:rPr>
        <w:rFonts w:hint="default"/>
      </w:rPr>
    </w:lvl>
    <w:lvl w:ilvl="2">
      <w:start w:val="1"/>
      <w:numFmt w:val="lowerRoman"/>
      <w:lvlText w:val="%3."/>
      <w:lvlJc w:val="left"/>
      <w:pPr>
        <w:tabs>
          <w:tab w:val="left" w:pos="5089"/>
        </w:tabs>
        <w:ind w:left="5089" w:hanging="420"/>
      </w:pPr>
      <w:rPr>
        <w:rFonts w:hint="default"/>
      </w:rPr>
    </w:lvl>
    <w:lvl w:ilvl="3">
      <w:start w:val="1"/>
      <w:numFmt w:val="decimal"/>
      <w:lvlText w:val="%4."/>
      <w:lvlJc w:val="left"/>
      <w:pPr>
        <w:tabs>
          <w:tab w:val="left" w:pos="5509"/>
        </w:tabs>
        <w:ind w:left="5509" w:hanging="420"/>
      </w:pPr>
      <w:rPr>
        <w:rFonts w:hint="default"/>
      </w:rPr>
    </w:lvl>
    <w:lvl w:ilvl="4">
      <w:start w:val="1"/>
      <w:numFmt w:val="lowerLetter"/>
      <w:lvlText w:val="%5)"/>
      <w:lvlJc w:val="left"/>
      <w:pPr>
        <w:tabs>
          <w:tab w:val="left" w:pos="5929"/>
        </w:tabs>
        <w:ind w:left="5929" w:hanging="420"/>
      </w:pPr>
      <w:rPr>
        <w:rFonts w:hint="default"/>
      </w:rPr>
    </w:lvl>
    <w:lvl w:ilvl="5">
      <w:start w:val="1"/>
      <w:numFmt w:val="lowerRoman"/>
      <w:lvlText w:val="%6."/>
      <w:lvlJc w:val="left"/>
      <w:pPr>
        <w:tabs>
          <w:tab w:val="left" w:pos="6349"/>
        </w:tabs>
        <w:ind w:left="6349" w:hanging="420"/>
      </w:pPr>
      <w:rPr>
        <w:rFonts w:hint="default"/>
      </w:rPr>
    </w:lvl>
    <w:lvl w:ilvl="6">
      <w:start w:val="1"/>
      <w:numFmt w:val="decimal"/>
      <w:lvlText w:val="%7."/>
      <w:lvlJc w:val="left"/>
      <w:pPr>
        <w:tabs>
          <w:tab w:val="left" w:pos="6769"/>
        </w:tabs>
        <w:ind w:left="6769" w:hanging="420"/>
      </w:pPr>
      <w:rPr>
        <w:rFonts w:hint="default"/>
      </w:rPr>
    </w:lvl>
    <w:lvl w:ilvl="7">
      <w:start w:val="1"/>
      <w:numFmt w:val="lowerLetter"/>
      <w:lvlText w:val="%8)"/>
      <w:lvlJc w:val="left"/>
      <w:pPr>
        <w:tabs>
          <w:tab w:val="left" w:pos="7189"/>
        </w:tabs>
        <w:ind w:left="7189" w:hanging="420"/>
      </w:pPr>
      <w:rPr>
        <w:rFonts w:hint="default"/>
      </w:rPr>
    </w:lvl>
    <w:lvl w:ilvl="8">
      <w:start w:val="1"/>
      <w:numFmt w:val="lowerRoman"/>
      <w:lvlText w:val="%9."/>
      <w:lvlJc w:val="left"/>
      <w:pPr>
        <w:tabs>
          <w:tab w:val="left" w:pos="7609"/>
        </w:tabs>
        <w:ind w:left="7609" w:hanging="420"/>
      </w:pPr>
      <w:rPr>
        <w:rFonts w:hint="default"/>
      </w:rPr>
    </w:lvl>
  </w:abstractNum>
  <w:num w:numId="1" w16cid:durableId="34231945">
    <w:abstractNumId w:val="1"/>
  </w:num>
  <w:num w:numId="2" w16cid:durableId="17970630">
    <w:abstractNumId w:val="2"/>
  </w:num>
  <w:num w:numId="3" w16cid:durableId="61344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wNTQ4Y2Y2ZTVhNTE3MjA4Y2QwOTZkNDE5YjdiMDQifQ=="/>
  </w:docVars>
  <w:rsids>
    <w:rsidRoot w:val="001F7EE6"/>
    <w:rsid w:val="BDB76496"/>
    <w:rsid w:val="00000E68"/>
    <w:rsid w:val="000356D0"/>
    <w:rsid w:val="00040720"/>
    <w:rsid w:val="000436C8"/>
    <w:rsid w:val="00075FFA"/>
    <w:rsid w:val="00097E3F"/>
    <w:rsid w:val="000A68F3"/>
    <w:rsid w:val="000C267B"/>
    <w:rsid w:val="000D2577"/>
    <w:rsid w:val="000F0353"/>
    <w:rsid w:val="0013722F"/>
    <w:rsid w:val="00145569"/>
    <w:rsid w:val="00165FBB"/>
    <w:rsid w:val="00166134"/>
    <w:rsid w:val="001936DF"/>
    <w:rsid w:val="001A3097"/>
    <w:rsid w:val="001B5CA5"/>
    <w:rsid w:val="001B5CE6"/>
    <w:rsid w:val="001E232F"/>
    <w:rsid w:val="001F7EE6"/>
    <w:rsid w:val="002005C9"/>
    <w:rsid w:val="00275C7A"/>
    <w:rsid w:val="00333E4A"/>
    <w:rsid w:val="00345200"/>
    <w:rsid w:val="003A44D9"/>
    <w:rsid w:val="003D72F2"/>
    <w:rsid w:val="00417EAC"/>
    <w:rsid w:val="00423920"/>
    <w:rsid w:val="0045299C"/>
    <w:rsid w:val="0046013E"/>
    <w:rsid w:val="004D4976"/>
    <w:rsid w:val="005708D3"/>
    <w:rsid w:val="00574D92"/>
    <w:rsid w:val="00587493"/>
    <w:rsid w:val="005923C1"/>
    <w:rsid w:val="005968F8"/>
    <w:rsid w:val="005A4FC1"/>
    <w:rsid w:val="005B67E1"/>
    <w:rsid w:val="005C7F21"/>
    <w:rsid w:val="005F4D6A"/>
    <w:rsid w:val="00644677"/>
    <w:rsid w:val="0064719E"/>
    <w:rsid w:val="00694CC2"/>
    <w:rsid w:val="006B0405"/>
    <w:rsid w:val="006C306C"/>
    <w:rsid w:val="006E0517"/>
    <w:rsid w:val="00713C0C"/>
    <w:rsid w:val="00722998"/>
    <w:rsid w:val="00723A06"/>
    <w:rsid w:val="007305FA"/>
    <w:rsid w:val="00730CCF"/>
    <w:rsid w:val="00765924"/>
    <w:rsid w:val="007A43CC"/>
    <w:rsid w:val="007C73BF"/>
    <w:rsid w:val="00802AD4"/>
    <w:rsid w:val="00842A26"/>
    <w:rsid w:val="00890AA2"/>
    <w:rsid w:val="008921C2"/>
    <w:rsid w:val="008C2E8B"/>
    <w:rsid w:val="008C7CD2"/>
    <w:rsid w:val="008E095A"/>
    <w:rsid w:val="00925949"/>
    <w:rsid w:val="009454CA"/>
    <w:rsid w:val="009525C2"/>
    <w:rsid w:val="0097007B"/>
    <w:rsid w:val="00992B13"/>
    <w:rsid w:val="009934B4"/>
    <w:rsid w:val="009A1D1F"/>
    <w:rsid w:val="009C7202"/>
    <w:rsid w:val="009F257C"/>
    <w:rsid w:val="00A54787"/>
    <w:rsid w:val="00A66EB4"/>
    <w:rsid w:val="00A9308C"/>
    <w:rsid w:val="00AC7F42"/>
    <w:rsid w:val="00AD3B3D"/>
    <w:rsid w:val="00AE6437"/>
    <w:rsid w:val="00B34E99"/>
    <w:rsid w:val="00B36661"/>
    <w:rsid w:val="00B46986"/>
    <w:rsid w:val="00B913C2"/>
    <w:rsid w:val="00B95E99"/>
    <w:rsid w:val="00B97FA0"/>
    <w:rsid w:val="00C048A5"/>
    <w:rsid w:val="00C278FC"/>
    <w:rsid w:val="00C52664"/>
    <w:rsid w:val="00C9659D"/>
    <w:rsid w:val="00CC6D11"/>
    <w:rsid w:val="00CF1C3C"/>
    <w:rsid w:val="00D103BC"/>
    <w:rsid w:val="00D351E7"/>
    <w:rsid w:val="00D642E0"/>
    <w:rsid w:val="00D7114A"/>
    <w:rsid w:val="00DA35D2"/>
    <w:rsid w:val="00DF1C53"/>
    <w:rsid w:val="00DF5940"/>
    <w:rsid w:val="00E27A50"/>
    <w:rsid w:val="00E77A1B"/>
    <w:rsid w:val="00E82A03"/>
    <w:rsid w:val="00EB0EF4"/>
    <w:rsid w:val="00EF01B2"/>
    <w:rsid w:val="00F025DB"/>
    <w:rsid w:val="00F628DD"/>
    <w:rsid w:val="00F66BF0"/>
    <w:rsid w:val="00F75819"/>
    <w:rsid w:val="00F9532B"/>
    <w:rsid w:val="00FD0771"/>
    <w:rsid w:val="00FF3D56"/>
    <w:rsid w:val="017E6A06"/>
    <w:rsid w:val="0443206C"/>
    <w:rsid w:val="0592568D"/>
    <w:rsid w:val="06CE7496"/>
    <w:rsid w:val="07C01A38"/>
    <w:rsid w:val="0E6E20F2"/>
    <w:rsid w:val="0ED734D9"/>
    <w:rsid w:val="148314A2"/>
    <w:rsid w:val="18AB01A9"/>
    <w:rsid w:val="1AB14E2E"/>
    <w:rsid w:val="1B31751E"/>
    <w:rsid w:val="1B966EEF"/>
    <w:rsid w:val="1E2758D4"/>
    <w:rsid w:val="1F080365"/>
    <w:rsid w:val="1F79125E"/>
    <w:rsid w:val="27595F2F"/>
    <w:rsid w:val="296D404B"/>
    <w:rsid w:val="2B0678DB"/>
    <w:rsid w:val="2EAB2859"/>
    <w:rsid w:val="31434FCB"/>
    <w:rsid w:val="31EF4536"/>
    <w:rsid w:val="351C000D"/>
    <w:rsid w:val="3527028B"/>
    <w:rsid w:val="38721E0A"/>
    <w:rsid w:val="3B7F541F"/>
    <w:rsid w:val="3CE83128"/>
    <w:rsid w:val="3CF573DD"/>
    <w:rsid w:val="43F4678E"/>
    <w:rsid w:val="452330AB"/>
    <w:rsid w:val="487A6E56"/>
    <w:rsid w:val="4A023523"/>
    <w:rsid w:val="4AEC473D"/>
    <w:rsid w:val="4AFB026D"/>
    <w:rsid w:val="4BC00F71"/>
    <w:rsid w:val="50005A19"/>
    <w:rsid w:val="50E70369"/>
    <w:rsid w:val="53FF44D2"/>
    <w:rsid w:val="56276BE8"/>
    <w:rsid w:val="57937C76"/>
    <w:rsid w:val="5CD538EC"/>
    <w:rsid w:val="5D766781"/>
    <w:rsid w:val="5E0E692B"/>
    <w:rsid w:val="67377794"/>
    <w:rsid w:val="6C541ADE"/>
    <w:rsid w:val="6D455138"/>
    <w:rsid w:val="6DE17FCF"/>
    <w:rsid w:val="6E6E2980"/>
    <w:rsid w:val="71DF54F9"/>
    <w:rsid w:val="76361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16345"/>
  <w15:docId w15:val="{82FADEA9-D1D8-42D2-BBB0-3FB71C99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styleId="ae">
    <w:name w:val="Revision"/>
    <w:hidden/>
    <w:uiPriority w:val="99"/>
    <w:semiHidden/>
    <w:rsid w:val="0064719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587</Words>
  <Characters>3346</Characters>
  <Application>Microsoft Office Word</Application>
  <DocSecurity>4</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兰佳茵</cp:lastModifiedBy>
  <cp:revision>2</cp:revision>
  <dcterms:created xsi:type="dcterms:W3CDTF">2022-11-14T00:24:00Z</dcterms:created>
  <dcterms:modified xsi:type="dcterms:W3CDTF">2022-11-14T00:24:00Z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DA59A1D700C04D34A3F641CF2919ECB2</vt:lpwstr>
  </property>
</Properties>
</file>