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小标宋简体" w:hAnsi="方正小标宋简体" w:eastAsia="方正小标宋简体" w:cs="宋体"/>
          <w:kern w:val="0"/>
          <w:sz w:val="22"/>
        </w:rPr>
      </w:pPr>
      <w:bookmarkStart w:id="0" w:name="_GoBack"/>
      <w:bookmarkEnd w:id="0"/>
    </w:p>
    <w:tbl>
      <w:tblPr>
        <w:tblStyle w:val="5"/>
        <w:tblW w:w="907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tcPr>
          <w:p>
            <w:pPr>
              <w:jc w:val="center"/>
              <w:rPr>
                <w:rFonts w:ascii="宋体" w:hAnsi="宋体" w:eastAsia="宋体"/>
                <w:spacing w:val="102"/>
                <w:kern w:val="0"/>
                <w:sz w:val="36"/>
                <w:szCs w:val="36"/>
              </w:rPr>
            </w:pPr>
          </w:p>
          <w:p>
            <w:pPr>
              <w:jc w:val="center"/>
              <w:rPr>
                <w:rFonts w:ascii="方正小标宋简体" w:hAnsi="宋体" w:eastAsia="方正小标宋简体"/>
                <w:sz w:val="44"/>
                <w:szCs w:val="44"/>
              </w:rPr>
            </w:pPr>
            <w:r>
              <w:rPr>
                <w:rFonts w:hint="eastAsia" w:ascii="方正小标宋简体" w:hAnsi="宋体" w:eastAsia="方正小标宋简体"/>
                <w:spacing w:val="58"/>
                <w:kern w:val="0"/>
                <w:sz w:val="44"/>
                <w:szCs w:val="44"/>
                <w:fitText w:val="6000" w:id="-1483465728"/>
              </w:rPr>
              <w:t>民航行业标准修改通知</w:t>
            </w:r>
            <w:r>
              <w:rPr>
                <w:rFonts w:hint="eastAsia" w:ascii="方正小标宋简体" w:hAnsi="宋体" w:eastAsia="方正小标宋简体"/>
                <w:spacing w:val="0"/>
                <w:kern w:val="0"/>
                <w:sz w:val="44"/>
                <w:szCs w:val="44"/>
                <w:fitText w:val="6000" w:id="-1483465728"/>
              </w:rPr>
              <w:t>单</w:t>
            </w:r>
          </w:p>
          <w:p>
            <w:pPr>
              <w:jc w:val="center"/>
              <w:rPr>
                <w:rFonts w:ascii="宋体" w:hAnsi="宋体" w:eastAsia="宋体"/>
                <w:b/>
                <w:bCs/>
                <w:szCs w:val="21"/>
              </w:rPr>
            </w:pPr>
          </w:p>
          <w:p>
            <w:pPr>
              <w:jc w:val="center"/>
              <w:rPr>
                <w:rFonts w:ascii="黑体" w:hAnsi="黑体" w:eastAsia="黑体"/>
                <w:bCs/>
                <w:sz w:val="32"/>
                <w:szCs w:val="32"/>
              </w:rPr>
            </w:pPr>
            <w:r>
              <w:rPr>
                <w:rFonts w:ascii="黑体" w:hAnsi="黑体" w:eastAsia="黑体"/>
                <w:bCs/>
                <w:sz w:val="32"/>
                <w:szCs w:val="32"/>
              </w:rPr>
              <w:t xml:space="preserve">MH/T </w:t>
            </w:r>
            <w:r>
              <w:rPr>
                <w:rFonts w:hint="eastAsia" w:ascii="黑体" w:hAnsi="黑体" w:eastAsia="黑体"/>
                <w:bCs/>
                <w:sz w:val="32"/>
                <w:szCs w:val="32"/>
              </w:rPr>
              <w:t>6107</w:t>
            </w:r>
            <w:r>
              <w:rPr>
                <w:rFonts w:ascii="黑体" w:hAnsi="黑体" w:eastAsia="黑体"/>
                <w:bCs/>
                <w:sz w:val="32"/>
                <w:szCs w:val="32"/>
              </w:rPr>
              <w:t>－</w:t>
            </w:r>
            <w:r>
              <w:rPr>
                <w:rFonts w:hint="eastAsia" w:ascii="黑体" w:hAnsi="黑体" w:eastAsia="黑体"/>
                <w:bCs/>
                <w:sz w:val="32"/>
                <w:szCs w:val="32"/>
              </w:rPr>
              <w:t>2014</w:t>
            </w:r>
            <w:r>
              <w:rPr>
                <w:rFonts w:ascii="黑体" w:hAnsi="黑体" w:eastAsia="黑体"/>
                <w:bCs/>
                <w:sz w:val="32"/>
                <w:szCs w:val="32"/>
              </w:rPr>
              <w:t>《</w:t>
            </w:r>
            <w:r>
              <w:rPr>
                <w:rFonts w:hint="eastAsia" w:ascii="黑体" w:hAnsi="黑体" w:eastAsia="黑体"/>
                <w:bCs/>
                <w:sz w:val="32"/>
                <w:szCs w:val="32"/>
              </w:rPr>
              <w:t>民用机场飞行区集水口顶盖和地井顶盖</w:t>
            </w:r>
            <w:r>
              <w:rPr>
                <w:rFonts w:ascii="黑体" w:hAnsi="黑体" w:eastAsia="黑体"/>
                <w:bCs/>
                <w:sz w:val="32"/>
                <w:szCs w:val="32"/>
              </w:rPr>
              <w:t>》</w:t>
            </w:r>
          </w:p>
          <w:p>
            <w:pPr>
              <w:jc w:val="center"/>
              <w:rPr>
                <w:rFonts w:ascii="黑体" w:hAnsi="黑体" w:eastAsia="黑体"/>
                <w:bCs/>
                <w:sz w:val="32"/>
                <w:szCs w:val="32"/>
              </w:rPr>
            </w:pPr>
            <w:r>
              <w:rPr>
                <w:rFonts w:ascii="黑体" w:hAnsi="黑体" w:eastAsia="黑体"/>
                <w:bCs/>
                <w:sz w:val="32"/>
                <w:szCs w:val="32"/>
              </w:rPr>
              <w:t>第</w:t>
            </w:r>
            <w:r>
              <w:rPr>
                <w:rFonts w:hint="eastAsia" w:ascii="黑体" w:hAnsi="黑体" w:eastAsia="黑体"/>
                <w:bCs/>
                <w:sz w:val="32"/>
                <w:szCs w:val="32"/>
              </w:rPr>
              <w:t>1</w:t>
            </w:r>
            <w:r>
              <w:rPr>
                <w:rFonts w:ascii="黑体" w:hAnsi="黑体" w:eastAsia="黑体"/>
                <w:bCs/>
                <w:sz w:val="32"/>
                <w:szCs w:val="32"/>
              </w:rPr>
              <w:t>号修改单</w:t>
            </w:r>
            <w:r>
              <w:rPr>
                <w:rFonts w:hint="eastAsia" w:ascii="黑体" w:hAnsi="黑体" w:eastAsia="黑体"/>
                <w:bCs/>
                <w:sz w:val="32"/>
                <w:szCs w:val="32"/>
              </w:rPr>
              <w:t>（征求意见稿）</w:t>
            </w:r>
          </w:p>
          <w:p>
            <w:pPr>
              <w:widowControl/>
              <w:jc w:val="center"/>
              <w:rPr>
                <w:rStyle w:val="9"/>
                <w:rFonts w:hint="default"/>
                <w:sz w:val="21"/>
                <w:szCs w:val="21"/>
              </w:rPr>
            </w:pPr>
          </w:p>
          <w:p>
            <w:pPr>
              <w:widowControl/>
              <w:ind w:firstLine="560" w:firstLineChars="200"/>
              <w:rPr>
                <w:sz w:val="30"/>
                <w:szCs w:val="30"/>
              </w:rPr>
            </w:pPr>
            <w:r>
              <w:rPr>
                <w:rStyle w:val="9"/>
                <w:rFonts w:hint="default"/>
              </w:rPr>
              <w:t>本修改单经中国民用航空局于××××年××月××日以×××（公告文号）批准，自××××年××月××日起实施。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5" w:hRule="atLeast"/>
        </w:trPr>
        <w:tc>
          <w:tcPr>
            <w:tcW w:w="9073" w:type="dxa"/>
          </w:tcPr>
          <w:p>
            <w:pPr>
              <w:ind w:firstLine="420" w:firstLineChars="200"/>
              <w:rPr>
                <w:rFonts w:ascii="宋体" w:hAnsi="宋体" w:eastAsia="宋体"/>
                <w:szCs w:val="21"/>
              </w:rPr>
            </w:pPr>
          </w:p>
          <w:p>
            <w:pPr>
              <w:ind w:firstLine="420" w:firstLineChars="200"/>
              <w:rPr>
                <w:rFonts w:ascii="黑体" w:hAnsi="黑体" w:eastAsia="黑体"/>
                <w:szCs w:val="21"/>
              </w:rPr>
            </w:pPr>
            <w:r>
              <w:rPr>
                <w:rFonts w:hint="eastAsia" w:ascii="黑体" w:hAnsi="黑体" w:eastAsia="黑体"/>
                <w:szCs w:val="21"/>
              </w:rPr>
              <w:t>一、将“</w:t>
            </w:r>
            <w:r>
              <w:rPr>
                <w:rFonts w:ascii="黑体" w:hAnsi="黑体" w:eastAsia="黑体"/>
                <w:szCs w:val="21"/>
              </w:rPr>
              <w:t>6.3 用于人员进入的地井顶盖的净孔径</w:t>
            </w:r>
            <w:r>
              <w:rPr>
                <w:rFonts w:hint="eastAsia" w:ascii="黑体" w:hAnsi="黑体" w:eastAsia="黑体"/>
                <w:szCs w:val="21"/>
              </w:rPr>
              <w:t>”更改为下述内容：</w:t>
            </w:r>
          </w:p>
          <w:p>
            <w:pPr>
              <w:spacing w:line="480" w:lineRule="auto"/>
              <w:rPr>
                <w:rFonts w:ascii="黑体" w:hAnsi="黑体" w:eastAsia="黑体"/>
                <w:szCs w:val="21"/>
              </w:rPr>
            </w:pPr>
            <w:r>
              <w:rPr>
                <w:rFonts w:hint="eastAsia" w:ascii="黑体" w:hAnsi="黑体" w:eastAsia="黑体"/>
                <w:szCs w:val="21"/>
              </w:rPr>
              <w:t>6.3</w:t>
            </w:r>
            <w:r>
              <w:rPr>
                <w:rFonts w:ascii="黑体" w:hAnsi="黑体" w:eastAsia="黑体"/>
                <w:szCs w:val="21"/>
              </w:rPr>
              <w:t xml:space="preserve"> 净孔径</w:t>
            </w:r>
          </w:p>
          <w:p>
            <w:pPr>
              <w:ind w:firstLine="420" w:firstLineChars="200"/>
              <w:rPr>
                <w:rFonts w:ascii="宋体" w:hAnsi="宋体" w:eastAsia="宋体"/>
                <w:szCs w:val="21"/>
              </w:rPr>
            </w:pPr>
            <w:r>
              <w:rPr>
                <w:rFonts w:hint="eastAsia" w:ascii="宋体" w:hAnsi="宋体" w:eastAsia="宋体"/>
                <w:szCs w:val="21"/>
              </w:rPr>
              <w:t>地井顶盖上用于人员通过的开孔设计应能有效满足安装区域的安全要求，通常其直径应不小于</w:t>
            </w:r>
            <w:r>
              <w:rPr>
                <w:rFonts w:ascii="宋体" w:hAnsi="宋体" w:eastAsia="宋体"/>
                <w:szCs w:val="21"/>
              </w:rPr>
              <w:t xml:space="preserve">600 mm。对于人孔井，用于安装盖板的座圈净孔径设计尺寸宜为700 mm、800 </w:t>
            </w:r>
            <w:r>
              <w:rPr>
                <w:rFonts w:hint="eastAsia" w:ascii="宋体" w:hAnsi="宋体" w:eastAsia="宋体"/>
                <w:szCs w:val="21"/>
              </w:rPr>
              <w:t>mm</w:t>
            </w:r>
            <w:r>
              <w:rPr>
                <w:rFonts w:ascii="宋体" w:hAnsi="宋体" w:eastAsia="宋体"/>
                <w:szCs w:val="21"/>
              </w:rPr>
              <w:t>、900 mm；对于非人孔井，用于安</w:t>
            </w:r>
            <w:r>
              <w:rPr>
                <w:rFonts w:hint="eastAsia" w:ascii="宋体" w:hAnsi="宋体" w:eastAsia="宋体"/>
                <w:szCs w:val="21"/>
              </w:rPr>
              <w:t>装盖板的座圈净孔径设计尺寸宜为</w:t>
            </w:r>
            <w:r>
              <w:rPr>
                <w:rFonts w:ascii="宋体" w:hAnsi="宋体" w:eastAsia="宋体"/>
                <w:szCs w:val="21"/>
              </w:rPr>
              <w:t>200 mm、400 mm</w:t>
            </w:r>
            <w:r>
              <w:rPr>
                <w:rFonts w:hint="eastAsia" w:ascii="宋体" w:hAnsi="宋体" w:eastAsia="宋体"/>
                <w:szCs w:val="21"/>
              </w:rPr>
              <w:t>、</w:t>
            </w:r>
            <w:r>
              <w:rPr>
                <w:rFonts w:ascii="宋体" w:hAnsi="宋体" w:eastAsia="宋体"/>
                <w:szCs w:val="21"/>
              </w:rPr>
              <w:t>700 mm、800 mm、900 mm</w:t>
            </w:r>
            <w:r>
              <w:rPr>
                <w:rFonts w:hint="eastAsia" w:ascii="宋体" w:hAnsi="宋体" w:eastAsia="宋体"/>
                <w:szCs w:val="21"/>
              </w:rPr>
              <w:t>；</w:t>
            </w:r>
            <w:r>
              <w:rPr>
                <w:rFonts w:ascii="宋体" w:hAnsi="宋体" w:eastAsia="宋体"/>
                <w:szCs w:val="21"/>
              </w:rPr>
              <w:t>航油井的座圈净孔径设计尺寸宜为200 mm、400 mm、470</w:t>
            </w:r>
            <w:r>
              <w:rPr>
                <w:rFonts w:hint="eastAsia" w:ascii="宋体" w:hAnsi="宋体" w:eastAsia="宋体"/>
                <w:szCs w:val="21"/>
              </w:rPr>
              <w:t xml:space="preserve"> </w:t>
            </w:r>
            <w:r>
              <w:rPr>
                <w:rFonts w:ascii="宋体" w:hAnsi="宋体" w:eastAsia="宋体"/>
                <w:szCs w:val="21"/>
              </w:rPr>
              <w:t>mm，新建机场的设计不应再采用470 mm的尺寸；用于安装</w:t>
            </w:r>
            <w:r>
              <w:rPr>
                <w:rFonts w:hint="eastAsia" w:ascii="宋体" w:hAnsi="宋体" w:eastAsia="宋体"/>
                <w:szCs w:val="21"/>
              </w:rPr>
              <w:t>箅子</w:t>
            </w:r>
            <w:r>
              <w:rPr>
                <w:rFonts w:ascii="宋体" w:hAnsi="宋体" w:eastAsia="宋体"/>
                <w:szCs w:val="21"/>
              </w:rPr>
              <w:t>的座圈净孔径设计尺寸宜为400 mm、600 mm、700 mm、800 mm；如确有需要可设计生产其他规格尺寸的顶盖，但应提供设计原因说明，并经评估确认其合理性后方可受理检验。</w:t>
            </w:r>
          </w:p>
          <w:p>
            <w:pPr>
              <w:ind w:firstLine="420" w:firstLineChars="200"/>
              <w:rPr>
                <w:rFonts w:ascii="宋体" w:hAnsi="宋体" w:eastAsia="宋体"/>
                <w:szCs w:val="21"/>
              </w:rPr>
            </w:pPr>
            <w:r>
              <w:rPr>
                <w:rFonts w:hint="eastAsia" w:ascii="宋体" w:hAnsi="宋体" w:eastAsia="宋体"/>
                <w:szCs w:val="21"/>
              </w:rPr>
              <w:t>座圈净孔径尺寸允许公差应符合设计要求，</w:t>
            </w:r>
            <w:r>
              <w:rPr>
                <w:rFonts w:ascii="宋体" w:hAnsi="宋体" w:eastAsia="宋体"/>
                <w:szCs w:val="21"/>
              </w:rPr>
              <w:t>但不超过</w:t>
            </w:r>
            <w:r>
              <w:rPr>
                <w:rFonts w:hint="eastAsia" w:ascii="宋体" w:hAnsi="宋体" w:eastAsia="宋体"/>
                <w:szCs w:val="21"/>
              </w:rPr>
              <w:t>±</w:t>
            </w:r>
            <w:r>
              <w:rPr>
                <w:rFonts w:ascii="宋体" w:hAnsi="宋体" w:eastAsia="宋体"/>
                <w:szCs w:val="21"/>
              </w:rPr>
              <w:t xml:space="preserve">5 </w:t>
            </w:r>
            <w:r>
              <w:rPr>
                <w:rFonts w:hint="eastAsia" w:ascii="宋体" w:hAnsi="宋体" w:eastAsia="宋体"/>
                <w:szCs w:val="21"/>
              </w:rPr>
              <w:t>mm</w:t>
            </w:r>
            <w:r>
              <w:rPr>
                <w:rFonts w:ascii="宋体" w:hAnsi="宋体" w:eastAsia="宋体"/>
                <w:szCs w:val="21"/>
              </w:rPr>
              <w:t>。</w:t>
            </w:r>
          </w:p>
          <w:p>
            <w:pPr>
              <w:ind w:firstLine="420" w:firstLineChars="200"/>
              <w:rPr>
                <w:rFonts w:ascii="宋体" w:hAnsi="宋体" w:eastAsia="宋体"/>
                <w:szCs w:val="21"/>
              </w:rPr>
            </w:pPr>
          </w:p>
          <w:p>
            <w:pPr>
              <w:ind w:firstLine="420" w:firstLineChars="200"/>
              <w:rPr>
                <w:rFonts w:ascii="黑体" w:hAnsi="黑体" w:eastAsia="黑体"/>
                <w:szCs w:val="21"/>
              </w:rPr>
            </w:pPr>
            <w:r>
              <w:rPr>
                <w:rFonts w:hint="eastAsia" w:ascii="黑体" w:hAnsi="黑体" w:eastAsia="黑体"/>
                <w:szCs w:val="21"/>
              </w:rPr>
              <w:t>二、将“</w:t>
            </w:r>
            <w:r>
              <w:rPr>
                <w:rFonts w:ascii="黑体" w:hAnsi="黑体" w:eastAsia="黑体"/>
                <w:szCs w:val="21"/>
              </w:rPr>
              <w:t>6.8 盖板和</w:t>
            </w:r>
            <w:r>
              <w:rPr>
                <w:rFonts w:hint="eastAsia" w:ascii="黑体" w:hAnsi="黑体" w:eastAsia="黑体"/>
                <w:szCs w:val="21"/>
              </w:rPr>
              <w:t>箅子</w:t>
            </w:r>
            <w:r>
              <w:rPr>
                <w:rFonts w:ascii="黑体" w:hAnsi="黑体" w:eastAsia="黑体"/>
                <w:szCs w:val="21"/>
              </w:rPr>
              <w:t>在座圈中的稳固</w:t>
            </w:r>
            <w:r>
              <w:rPr>
                <w:rFonts w:hint="eastAsia" w:ascii="黑体" w:hAnsi="黑体" w:eastAsia="黑体"/>
                <w:szCs w:val="21"/>
              </w:rPr>
              <w:t>”更改为下述内容：</w:t>
            </w:r>
          </w:p>
          <w:p>
            <w:pPr>
              <w:spacing w:line="480" w:lineRule="auto"/>
              <w:rPr>
                <w:rFonts w:ascii="黑体" w:hAnsi="黑体" w:eastAsia="黑体"/>
                <w:szCs w:val="21"/>
              </w:rPr>
            </w:pPr>
            <w:r>
              <w:rPr>
                <w:rFonts w:ascii="黑体" w:hAnsi="黑体" w:eastAsia="黑体"/>
                <w:szCs w:val="21"/>
              </w:rPr>
              <w:t>6.8 盖板和</w:t>
            </w:r>
            <w:r>
              <w:rPr>
                <w:rFonts w:hint="eastAsia" w:ascii="黑体" w:hAnsi="黑体" w:eastAsia="黑体"/>
                <w:szCs w:val="21"/>
              </w:rPr>
              <w:t>箅子</w:t>
            </w:r>
            <w:r>
              <w:rPr>
                <w:rFonts w:ascii="黑体" w:hAnsi="黑体" w:eastAsia="黑体"/>
                <w:szCs w:val="21"/>
              </w:rPr>
              <w:t>在座圈中的稳固</w:t>
            </w:r>
          </w:p>
          <w:p>
            <w:pPr>
              <w:ind w:firstLine="420" w:firstLineChars="200"/>
              <w:rPr>
                <w:rFonts w:ascii="宋体" w:hAnsi="宋体" w:eastAsia="宋体"/>
                <w:szCs w:val="21"/>
              </w:rPr>
            </w:pPr>
            <w:r>
              <w:rPr>
                <w:rFonts w:hint="eastAsia" w:ascii="宋体" w:hAnsi="宋体" w:eastAsia="宋体"/>
                <w:szCs w:val="21"/>
              </w:rPr>
              <w:t>盖板和箅子应在座圈内保持稳固，以适应第</w:t>
            </w:r>
            <w:r>
              <w:rPr>
                <w:rFonts w:ascii="宋体" w:hAnsi="宋体" w:eastAsia="宋体"/>
                <w:szCs w:val="21"/>
              </w:rPr>
              <w:t>4章所述的各安装区域的交通条件。安装在飞机滑行路线上及其翼展范围内的盖板应设置锁定装置；安装在机坪其它区域的盖板</w:t>
            </w:r>
            <w:r>
              <w:rPr>
                <w:rFonts w:hint="eastAsia" w:ascii="宋体" w:hAnsi="宋体" w:eastAsia="宋体"/>
                <w:szCs w:val="21"/>
              </w:rPr>
              <w:t>宜</w:t>
            </w:r>
            <w:r>
              <w:rPr>
                <w:rFonts w:ascii="宋体" w:hAnsi="宋体" w:eastAsia="宋体"/>
                <w:szCs w:val="21"/>
              </w:rPr>
              <w:t>设置锁定装置。对于有冰雪天气的地区，还应考虑使用、维护时方便开启。安装在其他区域的盖板和</w:t>
            </w:r>
            <w:r>
              <w:rPr>
                <w:rFonts w:hint="eastAsia" w:ascii="宋体" w:hAnsi="宋体" w:eastAsia="宋体"/>
                <w:szCs w:val="21"/>
              </w:rPr>
              <w:t>箅子，</w:t>
            </w:r>
            <w:r>
              <w:rPr>
                <w:rFonts w:ascii="宋体" w:hAnsi="宋体" w:eastAsia="宋体"/>
                <w:szCs w:val="21"/>
              </w:rPr>
              <w:t>可采用下述至少一种方案：</w:t>
            </w:r>
          </w:p>
          <w:p>
            <w:pPr>
              <w:pStyle w:val="13"/>
            </w:pPr>
            <w:r>
              <w:rPr>
                <w:rFonts w:hAnsi="宋体"/>
                <w:szCs w:val="21"/>
              </w:rPr>
              <w:t>设有</w:t>
            </w:r>
            <w:r>
              <w:rPr>
                <w:rFonts w:hint="eastAsia" w:hAnsi="宋体"/>
                <w:szCs w:val="21"/>
              </w:rPr>
              <w:t>一套锁定装置</w:t>
            </w:r>
            <w:r>
              <w:rPr>
                <w:rFonts w:hint="eastAsia"/>
              </w:rPr>
              <w:t>；</w:t>
            </w:r>
          </w:p>
          <w:p>
            <w:pPr>
              <w:pStyle w:val="13"/>
            </w:pPr>
            <w:r>
              <w:rPr>
                <w:rFonts w:hAnsi="宋体"/>
                <w:szCs w:val="21"/>
              </w:rPr>
              <w:t>单位面积上具有足够的质量</w:t>
            </w:r>
            <w:r>
              <w:rPr>
                <w:rFonts w:hint="eastAsia"/>
              </w:rPr>
              <w:t>；</w:t>
            </w:r>
          </w:p>
          <w:p>
            <w:pPr>
              <w:pStyle w:val="13"/>
            </w:pPr>
            <w:r>
              <w:rPr>
                <w:rFonts w:hAnsi="宋体"/>
                <w:szCs w:val="21"/>
              </w:rPr>
              <w:t>具有某种专门的设计</w:t>
            </w:r>
            <w:r>
              <w:rPr>
                <w:rFonts w:hint="eastAsia"/>
              </w:rPr>
              <w:t>。</w:t>
            </w:r>
          </w:p>
          <w:p>
            <w:pPr>
              <w:ind w:firstLine="420" w:firstLineChars="200"/>
              <w:rPr>
                <w:rFonts w:ascii="宋体" w:hAnsi="宋体" w:eastAsia="宋体"/>
                <w:szCs w:val="21"/>
              </w:rPr>
            </w:pPr>
            <w:r>
              <w:rPr>
                <w:rFonts w:hint="eastAsia" w:ascii="宋体" w:hAnsi="宋体" w:eastAsia="宋体"/>
                <w:szCs w:val="21"/>
              </w:rPr>
              <w:t xml:space="preserve">上述设计方案均应确保使用通用工具即可打开盖板和箅子。 </w:t>
            </w:r>
            <w:r>
              <w:rPr>
                <w:rFonts w:ascii="宋体" w:hAnsi="宋体" w:eastAsia="宋体"/>
                <w:szCs w:val="21"/>
              </w:rPr>
              <w:t xml:space="preserve"> </w:t>
            </w:r>
          </w:p>
          <w:p>
            <w:pPr>
              <w:rPr>
                <w:rFonts w:ascii="宋体" w:hAnsi="宋体" w:eastAsia="宋体"/>
                <w:szCs w:val="21"/>
              </w:rPr>
            </w:pPr>
          </w:p>
          <w:p>
            <w:pPr>
              <w:rPr>
                <w:rFonts w:ascii="宋体" w:hAnsi="宋体" w:eastAsia="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13"/>
      <w:lvlText w:val="%1)"/>
      <w:lvlJc w:val="left"/>
      <w:pPr>
        <w:tabs>
          <w:tab w:val="left" w:pos="851"/>
        </w:tabs>
        <w:ind w:left="851" w:hanging="426"/>
      </w:pPr>
      <w:rPr>
        <w:rFonts w:hint="eastAsia" w:ascii="宋体" w:hAnsi="Times New Roman" w:eastAsia="宋体"/>
        <w:sz w:val="21"/>
      </w:rPr>
    </w:lvl>
    <w:lvl w:ilvl="1" w:tentative="0">
      <w:start w:val="1"/>
      <w:numFmt w:val="decimal"/>
      <w:pStyle w:val="11"/>
      <w:lvlText w:val="%2)"/>
      <w:lvlJc w:val="left"/>
      <w:pPr>
        <w:tabs>
          <w:tab w:val="left" w:pos="1276"/>
        </w:tabs>
        <w:ind w:left="1276" w:hanging="425"/>
      </w:pPr>
      <w:rPr>
        <w:rFonts w:hint="eastAsia" w:ascii="宋体" w:hAnsi="Times New Roman" w:eastAsia="宋体"/>
        <w:sz w:val="21"/>
      </w:rPr>
    </w:lvl>
    <w:lvl w:ilvl="2" w:tentative="0">
      <w:start w:val="1"/>
      <w:numFmt w:val="decimal"/>
      <w:pStyle w:val="1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6CEA2025"/>
    <w:multiLevelType w:val="multilevel"/>
    <w:tmpl w:val="6CEA2025"/>
    <w:lvl w:ilvl="0" w:tentative="0">
      <w:start w:val="1"/>
      <w:numFmt w:val="none"/>
      <w:pStyle w:val="20"/>
      <w:suff w:val="nothing"/>
      <w:lvlText w:val="%1"/>
      <w:lvlJc w:val="left"/>
      <w:pPr>
        <w:ind w:left="0" w:firstLine="0"/>
      </w:pPr>
      <w:rPr>
        <w:rFonts w:hint="eastAsia"/>
      </w:rPr>
    </w:lvl>
    <w:lvl w:ilvl="1" w:tentative="0">
      <w:start w:val="1"/>
      <w:numFmt w:val="decimal"/>
      <w:pStyle w:val="18"/>
      <w:suff w:val="nothing"/>
      <w:lvlText w:val="%1%2　"/>
      <w:lvlJc w:val="left"/>
      <w:pPr>
        <w:ind w:left="0" w:firstLine="0"/>
      </w:pPr>
      <w:rPr>
        <w:rFonts w:hint="eastAsia" w:ascii="黑体" w:eastAsia="黑体"/>
        <w:b w:val="0"/>
        <w:i w:val="0"/>
        <w:sz w:val="21"/>
      </w:rPr>
    </w:lvl>
    <w:lvl w:ilvl="2" w:tentative="0">
      <w:start w:val="1"/>
      <w:numFmt w:val="decimal"/>
      <w:lvlText w:val="6.%3"/>
      <w:lvlJc w:val="left"/>
      <w:pPr>
        <w:ind w:left="420" w:hanging="420"/>
      </w:pPr>
      <w:rPr>
        <w:rFonts w:hint="eastAsia"/>
      </w:rPr>
    </w:lvl>
    <w:lvl w:ilvl="3" w:tentative="0">
      <w:start w:val="1"/>
      <w:numFmt w:val="decimal"/>
      <w:pStyle w:val="14"/>
      <w:suff w:val="nothing"/>
      <w:lvlText w:val="%1%2.%3.%4　"/>
      <w:lvlJc w:val="left"/>
      <w:pPr>
        <w:ind w:left="0" w:firstLine="0"/>
      </w:pPr>
      <w:rPr>
        <w:rFonts w:hint="eastAsia" w:ascii="黑体" w:eastAsia="黑体"/>
        <w:b w:val="0"/>
        <w:i w:val="0"/>
        <w:sz w:val="21"/>
      </w:rPr>
    </w:lvl>
    <w:lvl w:ilvl="4" w:tentative="0">
      <w:start w:val="1"/>
      <w:numFmt w:val="decimal"/>
      <w:pStyle w:val="15"/>
      <w:suff w:val="nothing"/>
      <w:lvlText w:val="%1%2.%3.%4.%5　"/>
      <w:lvlJc w:val="left"/>
      <w:pPr>
        <w:ind w:left="0" w:firstLine="0"/>
      </w:pPr>
      <w:rPr>
        <w:rFonts w:hint="eastAsia" w:ascii="黑体" w:eastAsia="黑体"/>
        <w:b w:val="0"/>
        <w:i w:val="0"/>
        <w:sz w:val="21"/>
      </w:rPr>
    </w:lvl>
    <w:lvl w:ilvl="5" w:tentative="0">
      <w:start w:val="1"/>
      <w:numFmt w:val="decimal"/>
      <w:pStyle w:val="16"/>
      <w:suff w:val="nothing"/>
      <w:lvlText w:val="%1%2.%3.%4.%5.%6　"/>
      <w:lvlJc w:val="left"/>
      <w:pPr>
        <w:ind w:left="0" w:firstLine="0"/>
      </w:pPr>
      <w:rPr>
        <w:rFonts w:hint="eastAsia" w:ascii="黑体" w:eastAsia="黑体"/>
        <w:b w:val="0"/>
        <w:i w:val="0"/>
        <w:sz w:val="21"/>
      </w:rPr>
    </w:lvl>
    <w:lvl w:ilvl="6" w:tentative="0">
      <w:start w:val="1"/>
      <w:numFmt w:val="decimal"/>
      <w:pStyle w:val="1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46"/>
    <w:rsid w:val="00063490"/>
    <w:rsid w:val="00254B05"/>
    <w:rsid w:val="002C5BA7"/>
    <w:rsid w:val="002D0319"/>
    <w:rsid w:val="002F6DD4"/>
    <w:rsid w:val="00340D91"/>
    <w:rsid w:val="00371B8C"/>
    <w:rsid w:val="00396950"/>
    <w:rsid w:val="00397701"/>
    <w:rsid w:val="00444986"/>
    <w:rsid w:val="004D7011"/>
    <w:rsid w:val="00542406"/>
    <w:rsid w:val="00602338"/>
    <w:rsid w:val="00613FD0"/>
    <w:rsid w:val="00614730"/>
    <w:rsid w:val="007F4513"/>
    <w:rsid w:val="00804D8E"/>
    <w:rsid w:val="008349D5"/>
    <w:rsid w:val="008C0E7A"/>
    <w:rsid w:val="0092023C"/>
    <w:rsid w:val="00983A54"/>
    <w:rsid w:val="009929ED"/>
    <w:rsid w:val="009A0E47"/>
    <w:rsid w:val="009D58E5"/>
    <w:rsid w:val="009E76D8"/>
    <w:rsid w:val="00A46548"/>
    <w:rsid w:val="00A862F5"/>
    <w:rsid w:val="00AE394D"/>
    <w:rsid w:val="00B0294D"/>
    <w:rsid w:val="00C80BB3"/>
    <w:rsid w:val="00DC2246"/>
    <w:rsid w:val="00E47C87"/>
    <w:rsid w:val="00ED208F"/>
    <w:rsid w:val="00EE6ECF"/>
    <w:rsid w:val="00F07409"/>
    <w:rsid w:val="00F11662"/>
    <w:rsid w:val="00F118DD"/>
    <w:rsid w:val="00F14EBA"/>
    <w:rsid w:val="00F40469"/>
    <w:rsid w:val="00F66346"/>
    <w:rsid w:val="00F92865"/>
    <w:rsid w:val="3FF7E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fontstyle01"/>
    <w:basedOn w:val="6"/>
    <w:qFormat/>
    <w:uiPriority w:val="0"/>
    <w:rPr>
      <w:rFonts w:hint="eastAsia" w:ascii="宋体" w:hAnsi="宋体" w:eastAsia="宋体"/>
      <w:color w:val="000000"/>
      <w:sz w:val="28"/>
      <w:szCs w:val="28"/>
    </w:rPr>
  </w:style>
  <w:style w:type="paragraph" w:styleId="10">
    <w:name w:val="List Paragraph"/>
    <w:basedOn w:val="1"/>
    <w:qFormat/>
    <w:uiPriority w:val="34"/>
    <w:pPr>
      <w:ind w:firstLine="420" w:firstLineChars="200"/>
    </w:pPr>
  </w:style>
  <w:style w:type="paragraph" w:customStyle="1" w:styleId="11">
    <w:name w:val="标准文件_数字编号列项（二级）"/>
    <w:qFormat/>
    <w:uiPriority w:val="0"/>
    <w:pPr>
      <w:numPr>
        <w:ilvl w:val="1"/>
        <w:numId w:val="1"/>
      </w:numPr>
      <w:jc w:val="both"/>
    </w:pPr>
    <w:rPr>
      <w:rFonts w:ascii="宋体" w:hAnsi="Times New Roman" w:eastAsia="宋体" w:cs="Times New Roman"/>
      <w:kern w:val="0"/>
      <w:sz w:val="21"/>
      <w:szCs w:val="20"/>
      <w:lang w:val="en-US" w:eastAsia="zh-CN" w:bidi="ar-SA"/>
    </w:rPr>
  </w:style>
  <w:style w:type="paragraph" w:customStyle="1" w:styleId="12">
    <w:name w:val="标准文件_编号列项（三级）"/>
    <w:qFormat/>
    <w:uiPriority w:val="0"/>
    <w:pPr>
      <w:numPr>
        <w:ilvl w:val="2"/>
        <w:numId w:val="1"/>
      </w:numPr>
    </w:pPr>
    <w:rPr>
      <w:rFonts w:ascii="宋体" w:hAnsi="Times New Roman" w:eastAsia="宋体" w:cs="Times New Roman"/>
      <w:kern w:val="0"/>
      <w:sz w:val="21"/>
      <w:szCs w:val="20"/>
      <w:lang w:val="en-US" w:eastAsia="zh-CN" w:bidi="ar-SA"/>
    </w:rPr>
  </w:style>
  <w:style w:type="paragraph" w:customStyle="1" w:styleId="13">
    <w:name w:val="标准文件_字母编号列项（一级）"/>
    <w:qFormat/>
    <w:uiPriority w:val="0"/>
    <w:pPr>
      <w:numPr>
        <w:ilvl w:val="0"/>
        <w:numId w:val="1"/>
      </w:numPr>
      <w:jc w:val="both"/>
    </w:pPr>
    <w:rPr>
      <w:rFonts w:ascii="宋体" w:hAnsi="Times New Roman" w:eastAsia="宋体" w:cs="Times New Roman"/>
      <w:kern w:val="0"/>
      <w:sz w:val="21"/>
      <w:szCs w:val="20"/>
      <w:lang w:val="en-US" w:eastAsia="zh-CN" w:bidi="ar-SA"/>
    </w:rPr>
  </w:style>
  <w:style w:type="paragraph" w:customStyle="1" w:styleId="14">
    <w:name w:val="标准文件_二级条标题"/>
    <w:next w:val="1"/>
    <w:qFormat/>
    <w:uiPriority w:val="0"/>
    <w:pPr>
      <w:widowControl w:val="0"/>
      <w:numPr>
        <w:ilvl w:val="3"/>
        <w:numId w:val="2"/>
      </w:numPr>
      <w:spacing w:before="50" w:beforeLines="50" w:after="50" w:afterLines="50"/>
      <w:jc w:val="both"/>
      <w:outlineLvl w:val="2"/>
    </w:pPr>
    <w:rPr>
      <w:rFonts w:ascii="黑体" w:hAnsi="Times New Roman" w:eastAsia="黑体" w:cs="Times New Roman"/>
      <w:kern w:val="0"/>
      <w:sz w:val="21"/>
      <w:szCs w:val="20"/>
      <w:lang w:val="en-US" w:eastAsia="zh-CN" w:bidi="ar-SA"/>
    </w:rPr>
  </w:style>
  <w:style w:type="paragraph" w:customStyle="1" w:styleId="15">
    <w:name w:val="标准文件_三级条标题"/>
    <w:basedOn w:val="14"/>
    <w:next w:val="1"/>
    <w:qFormat/>
    <w:uiPriority w:val="0"/>
    <w:pPr>
      <w:widowControl/>
      <w:numPr>
        <w:ilvl w:val="4"/>
      </w:numPr>
      <w:outlineLvl w:val="3"/>
    </w:pPr>
  </w:style>
  <w:style w:type="paragraph" w:customStyle="1" w:styleId="16">
    <w:name w:val="标准文件_四级条标题"/>
    <w:next w:val="1"/>
    <w:qFormat/>
    <w:uiPriority w:val="0"/>
    <w:pPr>
      <w:widowControl w:val="0"/>
      <w:numPr>
        <w:ilvl w:val="5"/>
        <w:numId w:val="2"/>
      </w:numPr>
      <w:spacing w:before="50" w:beforeLines="50" w:after="50" w:afterLines="50"/>
      <w:jc w:val="both"/>
      <w:outlineLvl w:val="4"/>
    </w:pPr>
    <w:rPr>
      <w:rFonts w:ascii="黑体" w:hAnsi="Times New Roman" w:eastAsia="黑体" w:cs="Times New Roman"/>
      <w:kern w:val="0"/>
      <w:sz w:val="21"/>
      <w:szCs w:val="20"/>
      <w:lang w:val="en-US" w:eastAsia="zh-CN" w:bidi="ar-SA"/>
    </w:rPr>
  </w:style>
  <w:style w:type="paragraph" w:customStyle="1" w:styleId="17">
    <w:name w:val="标准文件_五级条标题"/>
    <w:next w:val="1"/>
    <w:qFormat/>
    <w:uiPriority w:val="0"/>
    <w:pPr>
      <w:widowControl w:val="0"/>
      <w:numPr>
        <w:ilvl w:val="6"/>
        <w:numId w:val="2"/>
      </w:numPr>
      <w:spacing w:before="50" w:beforeLines="50" w:after="50" w:afterLines="50"/>
      <w:jc w:val="both"/>
      <w:outlineLvl w:val="5"/>
    </w:pPr>
    <w:rPr>
      <w:rFonts w:ascii="黑体" w:hAnsi="Times New Roman" w:eastAsia="黑体" w:cs="Times New Roman"/>
      <w:kern w:val="0"/>
      <w:sz w:val="21"/>
      <w:szCs w:val="20"/>
      <w:lang w:val="en-US" w:eastAsia="zh-CN" w:bidi="ar-SA"/>
    </w:rPr>
  </w:style>
  <w:style w:type="paragraph" w:customStyle="1" w:styleId="18">
    <w:name w:val="标准文件_章标题"/>
    <w:next w:val="1"/>
    <w:qFormat/>
    <w:uiPriority w:val="0"/>
    <w:pPr>
      <w:numPr>
        <w:ilvl w:val="1"/>
        <w:numId w:val="2"/>
      </w:numPr>
      <w:spacing w:before="100" w:beforeLines="100" w:after="100" w:afterLines="100"/>
      <w:jc w:val="both"/>
      <w:outlineLvl w:val="0"/>
    </w:pPr>
    <w:rPr>
      <w:rFonts w:ascii="黑体" w:hAnsi="Times New Roman" w:eastAsia="黑体" w:cs="Times New Roman"/>
      <w:kern w:val="0"/>
      <w:sz w:val="21"/>
      <w:szCs w:val="20"/>
      <w:lang w:val="en-US" w:eastAsia="zh-CN" w:bidi="ar-SA"/>
    </w:rPr>
  </w:style>
  <w:style w:type="paragraph" w:customStyle="1" w:styleId="19">
    <w:name w:val="标准文件_一级条标题"/>
    <w:basedOn w:val="18"/>
    <w:next w:val="1"/>
    <w:qFormat/>
    <w:uiPriority w:val="0"/>
    <w:pPr>
      <w:numPr>
        <w:ilvl w:val="0"/>
        <w:numId w:val="0"/>
      </w:numPr>
      <w:spacing w:before="50" w:beforeLines="50" w:after="50" w:afterLines="50"/>
      <w:outlineLvl w:val="1"/>
    </w:pPr>
  </w:style>
  <w:style w:type="paragraph" w:customStyle="1" w:styleId="20">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kern w:val="0"/>
      <w:sz w:val="32"/>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111</Words>
  <Characters>639</Characters>
  <Lines>5</Lines>
  <Paragraphs>1</Paragraphs>
  <TotalTime>429</TotalTime>
  <ScaleCrop>false</ScaleCrop>
  <LinksUpToDate>false</LinksUpToDate>
  <CharactersWithSpaces>749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2022-07-15T10:12:00Z</dcterms:created>
  <dc:creator>陈翘楚</dc:creator>
  <cp:lastModifiedBy>丛阳</cp:lastModifiedBy>
  <cp:lastPrinted>2022-07-21T15:25:00Z</cp:lastPrinted>
  <dcterms:modified xsi:type="dcterms:W3CDTF">2022-08-02T10:35:55Z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