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rPr>
      </w:pPr>
      <w:bookmarkStart w:id="2" w:name="_GoBack"/>
      <w:bookmarkEnd w:id="2"/>
    </w:p>
    <w:p>
      <w:pPr>
        <w:jc w:val="center"/>
        <w:rPr>
          <w:rFonts w:eastAsia="黑体"/>
          <w:sz w:val="52"/>
          <w:szCs w:val="52"/>
        </w:rPr>
      </w:pPr>
    </w:p>
    <w:p>
      <w:pPr>
        <w:rPr>
          <w:rFonts w:eastAsia="黑体"/>
          <w:sz w:val="52"/>
          <w:szCs w:val="52"/>
        </w:rPr>
      </w:pPr>
    </w:p>
    <w:p>
      <w:pPr>
        <w:rPr>
          <w:rFonts w:eastAsia="黑体"/>
          <w:sz w:val="52"/>
          <w:szCs w:val="52"/>
        </w:rPr>
      </w:pPr>
    </w:p>
    <w:p>
      <w:pPr>
        <w:jc w:val="center"/>
        <w:rPr>
          <w:rFonts w:eastAsia="宋体"/>
          <w:b/>
          <w:bCs/>
          <w:sz w:val="48"/>
          <w:szCs w:val="48"/>
        </w:rPr>
      </w:pPr>
      <w:r>
        <w:rPr>
          <w:rFonts w:eastAsia="宋体"/>
          <w:b/>
          <w:bCs/>
          <w:sz w:val="48"/>
          <w:szCs w:val="48"/>
        </w:rPr>
        <w:t>民航行业标准</w:t>
      </w:r>
    </w:p>
    <w:p>
      <w:pPr>
        <w:jc w:val="center"/>
        <w:rPr>
          <w:rFonts w:eastAsia="宋体"/>
          <w:b/>
          <w:bCs/>
          <w:sz w:val="48"/>
          <w:szCs w:val="48"/>
        </w:rPr>
      </w:pPr>
      <w:r>
        <w:rPr>
          <w:rFonts w:eastAsia="宋体"/>
          <w:b/>
          <w:bCs/>
          <w:sz w:val="48"/>
          <w:szCs w:val="48"/>
        </w:rPr>
        <w:t>《</w:t>
      </w:r>
      <w:r>
        <w:rPr>
          <w:rFonts w:hint="eastAsia" w:eastAsia="宋体"/>
          <w:b/>
          <w:bCs/>
          <w:sz w:val="48"/>
          <w:szCs w:val="48"/>
        </w:rPr>
        <w:t>机场容量评估技术规范</w:t>
      </w:r>
      <w:r>
        <w:rPr>
          <w:rFonts w:eastAsia="宋体"/>
          <w:b/>
          <w:bCs/>
          <w:sz w:val="48"/>
          <w:szCs w:val="48"/>
        </w:rPr>
        <w:t>》</w:t>
      </w:r>
    </w:p>
    <w:p>
      <w:pPr>
        <w:jc w:val="center"/>
        <w:rPr>
          <w:rFonts w:eastAsia="宋体"/>
          <w:b/>
          <w:bCs/>
          <w:sz w:val="48"/>
          <w:szCs w:val="48"/>
        </w:rPr>
      </w:pPr>
      <w:r>
        <w:rPr>
          <w:rFonts w:eastAsia="宋体"/>
          <w:b/>
          <w:bCs/>
          <w:sz w:val="48"/>
          <w:szCs w:val="48"/>
        </w:rPr>
        <w:t>（征求意见稿）</w:t>
      </w:r>
    </w:p>
    <w:p>
      <w:pPr>
        <w:jc w:val="center"/>
        <w:rPr>
          <w:rFonts w:eastAsia="宋体"/>
          <w:b/>
          <w:bCs/>
          <w:sz w:val="48"/>
          <w:szCs w:val="48"/>
        </w:rPr>
      </w:pPr>
    </w:p>
    <w:p>
      <w:pPr>
        <w:jc w:val="center"/>
        <w:rPr>
          <w:b/>
          <w:bCs/>
          <w:sz w:val="36"/>
          <w:szCs w:val="36"/>
        </w:rPr>
      </w:pPr>
    </w:p>
    <w:p>
      <w:pPr>
        <w:widowControl w:val="0"/>
        <w:spacing w:line="240" w:lineRule="auto"/>
        <w:jc w:val="center"/>
        <w:textAlignment w:val="auto"/>
        <w:rPr>
          <w:rFonts w:eastAsia="宋体"/>
          <w:b/>
          <w:bCs/>
          <w:sz w:val="84"/>
          <w:szCs w:val="84"/>
        </w:rPr>
      </w:pPr>
      <w:r>
        <w:rPr>
          <w:rFonts w:eastAsia="宋体"/>
          <w:b/>
          <w:bCs/>
          <w:sz w:val="84"/>
          <w:szCs w:val="84"/>
        </w:rPr>
        <w:t>编制说明</w:t>
      </w:r>
    </w:p>
    <w:p>
      <w:pPr>
        <w:jc w:val="center"/>
        <w:rPr>
          <w:rFonts w:eastAsia="黑体"/>
          <w:b/>
          <w:bCs/>
          <w:sz w:val="52"/>
          <w:szCs w:val="52"/>
        </w:rPr>
      </w:pPr>
    </w:p>
    <w:p>
      <w:pPr>
        <w:jc w:val="center"/>
        <w:rPr>
          <w:rFonts w:eastAsia="黑体"/>
          <w:b/>
          <w:bCs/>
          <w:sz w:val="52"/>
          <w:szCs w:val="52"/>
        </w:rPr>
      </w:pPr>
    </w:p>
    <w:p>
      <w:pPr>
        <w:jc w:val="center"/>
        <w:rPr>
          <w:rFonts w:eastAsia="黑体"/>
          <w:b/>
          <w:bCs/>
          <w:sz w:val="52"/>
          <w:szCs w:val="52"/>
        </w:rPr>
      </w:pPr>
    </w:p>
    <w:p>
      <w:pPr>
        <w:jc w:val="center"/>
        <w:rPr>
          <w:rFonts w:eastAsia="黑体"/>
          <w:b/>
          <w:bCs/>
          <w:sz w:val="52"/>
          <w:szCs w:val="52"/>
        </w:rPr>
      </w:pPr>
    </w:p>
    <w:p>
      <w:pPr>
        <w:jc w:val="center"/>
        <w:rPr>
          <w:rFonts w:eastAsia="黑体"/>
          <w:b/>
          <w:bCs/>
          <w:sz w:val="52"/>
          <w:szCs w:val="52"/>
        </w:rPr>
      </w:pPr>
    </w:p>
    <w:p>
      <w:pPr>
        <w:jc w:val="center"/>
        <w:rPr>
          <w:rFonts w:eastAsia="黑体"/>
          <w:b/>
          <w:bCs/>
          <w:sz w:val="52"/>
          <w:szCs w:val="52"/>
        </w:rPr>
      </w:pPr>
    </w:p>
    <w:p>
      <w:pPr>
        <w:jc w:val="center"/>
        <w:rPr>
          <w:rFonts w:eastAsia="黑体"/>
          <w:b/>
          <w:bCs/>
          <w:sz w:val="52"/>
          <w:szCs w:val="52"/>
        </w:rPr>
      </w:pPr>
    </w:p>
    <w:p>
      <w:pPr>
        <w:jc w:val="center"/>
        <w:rPr>
          <w:rFonts w:eastAsia="黑体"/>
          <w:b/>
          <w:bCs/>
          <w:sz w:val="52"/>
          <w:szCs w:val="52"/>
        </w:rPr>
      </w:pPr>
    </w:p>
    <w:p>
      <w:pPr>
        <w:widowControl w:val="0"/>
        <w:spacing w:line="240" w:lineRule="auto"/>
        <w:jc w:val="center"/>
        <w:textAlignment w:val="auto"/>
        <w:rPr>
          <w:rFonts w:eastAsia="宋体"/>
          <w:b/>
          <w:bCs/>
          <w:sz w:val="28"/>
          <w:szCs w:val="28"/>
        </w:rPr>
      </w:pPr>
      <w:r>
        <w:rPr>
          <w:rFonts w:eastAsia="宋体"/>
          <w:b/>
          <w:bCs/>
          <w:sz w:val="28"/>
          <w:szCs w:val="28"/>
        </w:rPr>
        <w:t>《</w:t>
      </w:r>
      <w:r>
        <w:rPr>
          <w:rFonts w:hint="eastAsia" w:eastAsia="宋体"/>
          <w:b/>
          <w:bCs/>
          <w:sz w:val="28"/>
          <w:szCs w:val="28"/>
        </w:rPr>
        <w:t>机场容量评估技术规范</w:t>
      </w:r>
      <w:r>
        <w:rPr>
          <w:rFonts w:eastAsia="宋体"/>
          <w:b/>
          <w:bCs/>
          <w:sz w:val="28"/>
          <w:szCs w:val="28"/>
        </w:rPr>
        <w:t>》编制组</w:t>
      </w:r>
    </w:p>
    <w:p>
      <w:pPr>
        <w:widowControl w:val="0"/>
        <w:spacing w:line="240" w:lineRule="auto"/>
        <w:jc w:val="center"/>
        <w:textAlignment w:val="auto"/>
        <w:rPr>
          <w:rFonts w:eastAsia="宋体"/>
          <w:b/>
          <w:bCs/>
          <w:sz w:val="28"/>
          <w:szCs w:val="28"/>
        </w:rPr>
      </w:pPr>
      <w:r>
        <w:rPr>
          <w:rFonts w:hint="eastAsia" w:eastAsia="宋体"/>
          <w:b/>
          <w:bCs/>
          <w:sz w:val="28"/>
          <w:szCs w:val="28"/>
        </w:rPr>
        <w:t>202</w:t>
      </w:r>
      <w:r>
        <w:rPr>
          <w:rFonts w:eastAsia="宋体"/>
          <w:b/>
          <w:bCs/>
          <w:sz w:val="28"/>
          <w:szCs w:val="28"/>
        </w:rPr>
        <w:t>4年</w:t>
      </w:r>
      <w:r>
        <w:rPr>
          <w:rFonts w:hint="eastAsia" w:eastAsia="宋体"/>
          <w:b/>
          <w:bCs/>
          <w:sz w:val="28"/>
          <w:szCs w:val="28"/>
        </w:rPr>
        <w:t>1</w:t>
      </w:r>
      <w:r>
        <w:rPr>
          <w:rFonts w:eastAsia="宋体"/>
          <w:b/>
          <w:bCs/>
          <w:sz w:val="28"/>
          <w:szCs w:val="28"/>
        </w:rPr>
        <w:t>月</w:t>
      </w:r>
    </w:p>
    <w:p>
      <w:pPr>
        <w:jc w:val="center"/>
        <w:rPr>
          <w:b/>
          <w:bCs/>
          <w:sz w:val="28"/>
          <w:szCs w:val="28"/>
        </w:rPr>
      </w:pPr>
    </w:p>
    <w:p>
      <w:pPr>
        <w:rPr>
          <w:rStyle w:val="16"/>
        </w:rPr>
      </w:pPr>
    </w:p>
    <w:p>
      <w:pPr>
        <w:pageBreakBefore/>
        <w:ind w:firstLine="640" w:firstLineChars="200"/>
        <w:jc w:val="left"/>
        <w:outlineLvl w:val="0"/>
        <w:rPr>
          <w:rFonts w:eastAsia="黑体"/>
          <w:bCs/>
          <w:szCs w:val="32"/>
        </w:rPr>
      </w:pPr>
      <w:r>
        <w:rPr>
          <w:rFonts w:eastAsia="黑体"/>
          <w:bCs/>
          <w:szCs w:val="32"/>
        </w:rPr>
        <w:t>一、工作简况</w:t>
      </w:r>
    </w:p>
    <w:p>
      <w:pPr>
        <w:ind w:firstLine="640" w:firstLineChars="200"/>
        <w:jc w:val="left"/>
        <w:rPr>
          <w:rFonts w:eastAsia="楷体"/>
        </w:rPr>
      </w:pPr>
      <w:r>
        <w:rPr>
          <w:rFonts w:eastAsia="楷体"/>
        </w:rPr>
        <w:t>（一）任务来源</w:t>
      </w:r>
    </w:p>
    <w:p>
      <w:pPr>
        <w:ind w:firstLine="640" w:firstLineChars="200"/>
        <w:rPr>
          <w:rStyle w:val="16"/>
        </w:rPr>
      </w:pPr>
      <w:r>
        <w:rPr>
          <w:rStyle w:val="16"/>
          <w:rFonts w:hint="eastAsia"/>
        </w:rPr>
        <w:t>《机场容量评估技术规范》为2023年标准计划外项目，标准编制周期为12个月。该标准由中国民用航空局空管行业管理办公室提出，牵头起草单位为中国</w:t>
      </w:r>
      <w:r>
        <w:rPr>
          <w:rStyle w:val="16"/>
        </w:rPr>
        <w:t>民航科学技术研究院</w:t>
      </w:r>
      <w:r>
        <w:rPr>
          <w:rStyle w:val="16"/>
          <w:rFonts w:hint="eastAsia"/>
        </w:rPr>
        <w:t>。</w:t>
      </w:r>
    </w:p>
    <w:p>
      <w:pPr>
        <w:ind w:firstLine="640" w:firstLineChars="200"/>
        <w:jc w:val="left"/>
        <w:rPr>
          <w:rFonts w:eastAsia="楷体"/>
        </w:rPr>
      </w:pPr>
      <w:r>
        <w:rPr>
          <w:rFonts w:eastAsia="楷体"/>
        </w:rPr>
        <w:t>（二）主要起草单位和</w:t>
      </w:r>
      <w:r>
        <w:rPr>
          <w:rFonts w:hint="eastAsia" w:eastAsia="楷体"/>
        </w:rPr>
        <w:t>编制</w:t>
      </w:r>
      <w:r>
        <w:rPr>
          <w:rFonts w:eastAsia="楷体"/>
        </w:rPr>
        <w:t>组成员</w:t>
      </w:r>
    </w:p>
    <w:p>
      <w:pPr>
        <w:ind w:firstLine="640" w:firstLineChars="200"/>
        <w:rPr>
          <w:rStyle w:val="16"/>
        </w:rPr>
      </w:pPr>
      <w:r>
        <w:rPr>
          <w:rStyle w:val="16"/>
        </w:rPr>
        <w:t>主要起草单位：</w:t>
      </w:r>
      <w:r>
        <w:rPr>
          <w:rStyle w:val="16"/>
          <w:rFonts w:hint="eastAsia"/>
        </w:rPr>
        <w:t>中国</w:t>
      </w:r>
      <w:r>
        <w:rPr>
          <w:rStyle w:val="16"/>
        </w:rPr>
        <w:t>民航科学技术研究院</w:t>
      </w:r>
      <w:r>
        <w:rPr>
          <w:rStyle w:val="16"/>
          <w:rFonts w:hint="eastAsia"/>
        </w:rPr>
        <w:t>、</w:t>
      </w:r>
      <w:r>
        <w:rPr>
          <w:rStyle w:val="16"/>
        </w:rPr>
        <w:t>中国民航大学、</w:t>
      </w:r>
      <w:r>
        <w:rPr>
          <w:rStyle w:val="16"/>
          <w:rFonts w:hint="eastAsia"/>
        </w:rPr>
        <w:t>南京</w:t>
      </w:r>
      <w:r>
        <w:rPr>
          <w:rStyle w:val="16"/>
        </w:rPr>
        <w:t>航空航天大学。</w:t>
      </w:r>
    </w:p>
    <w:p>
      <w:pPr>
        <w:ind w:firstLine="640" w:firstLineChars="200"/>
        <w:rPr>
          <w:rStyle w:val="16"/>
          <w:szCs w:val="32"/>
        </w:rPr>
      </w:pPr>
      <w:r>
        <w:rPr>
          <w:rStyle w:val="16"/>
          <w:rFonts w:hint="eastAsia"/>
          <w:szCs w:val="32"/>
        </w:rPr>
        <w:t>编制</w:t>
      </w:r>
      <w:r>
        <w:rPr>
          <w:rStyle w:val="16"/>
          <w:szCs w:val="32"/>
        </w:rPr>
        <w:t>组成员：</w:t>
      </w:r>
      <w:r>
        <w:rPr>
          <w:rStyle w:val="16"/>
          <w:rFonts w:hint="eastAsia"/>
          <w:szCs w:val="32"/>
        </w:rPr>
        <w:t>邹国良、侯佳、周雅琴、张旭婧、周娟、董震岭、马文博、赵征、高伟、彭瑛、赵志刚、苑天佑、李娜。</w:t>
      </w:r>
    </w:p>
    <w:p>
      <w:pPr>
        <w:ind w:firstLine="640" w:firstLineChars="200"/>
        <w:jc w:val="left"/>
        <w:rPr>
          <w:rFonts w:eastAsia="楷体"/>
        </w:rPr>
      </w:pPr>
      <w:r>
        <w:rPr>
          <w:rFonts w:eastAsia="楷体"/>
        </w:rPr>
        <w:t>（三）标准制定的背景、目的和意义</w:t>
      </w:r>
    </w:p>
    <w:p>
      <w:pPr>
        <w:ind w:firstLine="640" w:firstLineChars="200"/>
        <w:rPr>
          <w:rStyle w:val="16"/>
        </w:rPr>
      </w:pPr>
      <w:r>
        <w:rPr>
          <w:rStyle w:val="16"/>
          <w:rFonts w:hint="eastAsia"/>
        </w:rPr>
        <w:t>随着我国航空运输市场的持续快速发展，国内主要机场容量紧张现象日益突出，科学地确定机场容量尤为重要。机场容量评估是指对机场在现有基础设施、运行模式下能够达到的容量进行科学评估，为安排机场航班时刻提供依据，并能通过评估找出制约机场容量增长的因素，提出相应解决措施。</w:t>
      </w:r>
    </w:p>
    <w:p>
      <w:pPr>
        <w:ind w:firstLine="640" w:firstLineChars="200"/>
        <w:rPr>
          <w:rStyle w:val="16"/>
        </w:rPr>
      </w:pPr>
      <w:r>
        <w:rPr>
          <w:rStyle w:val="16"/>
        </w:rPr>
        <w:t>2010年</w:t>
      </w:r>
      <w:r>
        <w:rPr>
          <w:rStyle w:val="16"/>
          <w:rFonts w:hint="eastAsia"/>
        </w:rPr>
        <w:t>中国民用航空局</w:t>
      </w:r>
      <w:r>
        <w:rPr>
          <w:rStyle w:val="16"/>
        </w:rPr>
        <w:t>出台了《机场容量评估管理暂行办法》，标志着容量评估</w:t>
      </w:r>
      <w:r>
        <w:rPr>
          <w:rStyle w:val="16"/>
          <w:rFonts w:hint="eastAsia"/>
        </w:rPr>
        <w:t>工作</w:t>
      </w:r>
      <w:r>
        <w:rPr>
          <w:rStyle w:val="16"/>
        </w:rPr>
        <w:t>开始进入规划化管理的阶段。</w:t>
      </w:r>
      <w:r>
        <w:rPr>
          <w:rStyle w:val="16"/>
          <w:rFonts w:hint="eastAsia"/>
        </w:rPr>
        <w:t>2</w:t>
      </w:r>
      <w:r>
        <w:rPr>
          <w:rStyle w:val="16"/>
        </w:rPr>
        <w:t>017</w:t>
      </w:r>
      <w:r>
        <w:rPr>
          <w:rStyle w:val="16"/>
          <w:rFonts w:hint="eastAsia"/>
        </w:rPr>
        <w:t>年中国民用航空局下发了《机场时刻容量评估技术规范》（以下简称“《技术规范》”），标志着局方对容量评估技术有了规范性要求。</w:t>
      </w:r>
    </w:p>
    <w:p>
      <w:pPr>
        <w:ind w:firstLine="640" w:firstLineChars="200"/>
        <w:rPr>
          <w:rStyle w:val="16"/>
        </w:rPr>
      </w:pPr>
      <w:r>
        <w:rPr>
          <w:rStyle w:val="16"/>
          <w:rFonts w:hint="eastAsia"/>
        </w:rPr>
        <w:t>《技术规范》是评估机构开展评估工作的技术指南，也是容量评估工作管理单位开展评审、复核等工作的管理依据。自2</w:t>
      </w:r>
      <w:r>
        <w:rPr>
          <w:rStyle w:val="16"/>
        </w:rPr>
        <w:t>017</w:t>
      </w:r>
      <w:r>
        <w:rPr>
          <w:rStyle w:val="16"/>
          <w:rFonts w:hint="eastAsia"/>
        </w:rPr>
        <w:t>年《技术规范》下发，通过近几年容量评估工作，评估机构和管理单位累积了丰富的实践经验，对进一步深化现有容量评估技术提出了更高要求。为了进一步统一机场容量评估技术标准，需要机场容量评估技术要求从规范性文件向行业标准转变，能够为容量评估工作提供更为一致性的技术要求。</w:t>
      </w:r>
    </w:p>
    <w:p>
      <w:pPr>
        <w:ind w:firstLine="640" w:firstLineChars="200"/>
        <w:jc w:val="left"/>
        <w:rPr>
          <w:rFonts w:eastAsia="楷体"/>
        </w:rPr>
      </w:pPr>
      <w:r>
        <w:rPr>
          <w:rFonts w:eastAsia="楷体"/>
        </w:rPr>
        <w:t>（四）主要工作过程</w:t>
      </w:r>
    </w:p>
    <w:p>
      <w:pPr>
        <w:ind w:firstLine="640" w:firstLineChars="200"/>
        <w:rPr>
          <w:szCs w:val="32"/>
        </w:rPr>
      </w:pPr>
      <w:r>
        <w:rPr>
          <w:rFonts w:hint="eastAsia"/>
          <w:szCs w:val="32"/>
        </w:rPr>
        <w:t>1．组建编制组</w:t>
      </w:r>
    </w:p>
    <w:p>
      <w:pPr>
        <w:ind w:firstLine="640" w:firstLineChars="200"/>
        <w:rPr>
          <w:szCs w:val="32"/>
        </w:rPr>
      </w:pPr>
      <w:r>
        <w:rPr>
          <w:rFonts w:hint="eastAsia"/>
          <w:szCs w:val="32"/>
        </w:rPr>
        <w:t>2</w:t>
      </w:r>
      <w:r>
        <w:rPr>
          <w:szCs w:val="32"/>
        </w:rPr>
        <w:t>023</w:t>
      </w:r>
      <w:r>
        <w:rPr>
          <w:rFonts w:hint="eastAsia"/>
          <w:szCs w:val="32"/>
        </w:rPr>
        <w:t>年初，成立标准编制组。编制组由</w:t>
      </w:r>
      <w:r>
        <w:rPr>
          <w:rStyle w:val="16"/>
          <w:rFonts w:hint="eastAsia"/>
          <w:szCs w:val="32"/>
        </w:rPr>
        <w:t>中国民航科学技术研究院</w:t>
      </w:r>
      <w:r>
        <w:rPr>
          <w:rFonts w:hint="eastAsia"/>
          <w:szCs w:val="32"/>
        </w:rPr>
        <w:t>作为标准牵头起草单位，中国民航大学、南京航空航天大学作为标准参与起草单位。编制组按照中国民用航空局精细化机场容量评估工作的要求，制定工作方案。</w:t>
      </w:r>
    </w:p>
    <w:p>
      <w:pPr>
        <w:ind w:firstLine="640" w:firstLineChars="200"/>
        <w:rPr>
          <w:szCs w:val="32"/>
        </w:rPr>
      </w:pPr>
      <w:r>
        <w:rPr>
          <w:rFonts w:hint="eastAsia"/>
          <w:szCs w:val="32"/>
        </w:rPr>
        <w:t>2．调研</w:t>
      </w:r>
    </w:p>
    <w:p>
      <w:pPr>
        <w:ind w:firstLine="640" w:firstLineChars="200"/>
        <w:rPr>
          <w:rStyle w:val="16"/>
          <w:szCs w:val="32"/>
        </w:rPr>
      </w:pPr>
      <w:r>
        <w:rPr>
          <w:rStyle w:val="16"/>
          <w:rFonts w:hint="eastAsia"/>
          <w:szCs w:val="32"/>
        </w:rPr>
        <w:t>2023年1月至4月，调研搜集标准起草所需相关规范文件、数据资料等，并梳理分析容量评估相关规范文件和当前机场容量评估工作开展情况及评估过程中遇到的问题。</w:t>
      </w:r>
    </w:p>
    <w:p>
      <w:pPr>
        <w:ind w:firstLine="640" w:firstLineChars="200"/>
        <w:rPr>
          <w:szCs w:val="32"/>
        </w:rPr>
      </w:pPr>
      <w:r>
        <w:rPr>
          <w:rFonts w:hint="eastAsia"/>
          <w:szCs w:val="32"/>
        </w:rPr>
        <w:t>3．开题评审</w:t>
      </w:r>
    </w:p>
    <w:p>
      <w:pPr>
        <w:ind w:firstLine="640" w:firstLineChars="200"/>
        <w:rPr>
          <w:rStyle w:val="16"/>
          <w:szCs w:val="32"/>
        </w:rPr>
      </w:pPr>
      <w:r>
        <w:rPr>
          <w:rStyle w:val="16"/>
          <w:szCs w:val="32"/>
        </w:rPr>
        <w:t>2023</w:t>
      </w:r>
      <w:r>
        <w:rPr>
          <w:rStyle w:val="16"/>
          <w:rFonts w:hint="eastAsia"/>
          <w:szCs w:val="32"/>
        </w:rPr>
        <w:t>年5月11日，中国民航科学技术研究院民航法规与标准化研究所在北京组织召开</w:t>
      </w:r>
      <w:r>
        <w:rPr>
          <w:rStyle w:val="16"/>
          <w:szCs w:val="32"/>
        </w:rPr>
        <w:t>标准开题评审会</w:t>
      </w:r>
      <w:r>
        <w:rPr>
          <w:rStyle w:val="16"/>
          <w:rFonts w:hint="eastAsia"/>
          <w:szCs w:val="32"/>
        </w:rPr>
        <w:t>。中国民航科学技术研究院召集编写组成员参与本次评审会。会议邀请了七位具有高级职称的容量评估行业专家成立评审组。评审组听取了项目承担单位中国民航科学技术研究院航行</w:t>
      </w:r>
      <w:r>
        <w:rPr>
          <w:rStyle w:val="16"/>
          <w:szCs w:val="32"/>
        </w:rPr>
        <w:t>新技术研究所</w:t>
      </w:r>
      <w:r>
        <w:rPr>
          <w:rStyle w:val="16"/>
          <w:rFonts w:hint="eastAsia"/>
          <w:szCs w:val="32"/>
        </w:rPr>
        <w:t>的项目汇报，与中国民航科学技术研究院相关人员进行了技术交流和讨论，对项目的必要性、可行性、主要内容、工作计划以及项目预期成果等方面进行了评审，该项目目标明确、内容全面、方案可行。项目成果对指导评估机构开展机场容量评估工作有重要的意义。评审组一致同意该项目立项。</w:t>
      </w:r>
    </w:p>
    <w:p>
      <w:pPr>
        <w:ind w:firstLine="640" w:firstLineChars="200"/>
        <w:rPr>
          <w:szCs w:val="32"/>
        </w:rPr>
      </w:pPr>
      <w:r>
        <w:rPr>
          <w:rStyle w:val="16"/>
          <w:szCs w:val="32"/>
        </w:rPr>
        <w:t>4</w:t>
      </w:r>
      <w:r>
        <w:rPr>
          <w:rFonts w:hint="eastAsia"/>
          <w:szCs w:val="32"/>
        </w:rPr>
        <w:t>．标准起草</w:t>
      </w:r>
    </w:p>
    <w:p>
      <w:pPr>
        <w:ind w:firstLine="640" w:firstLineChars="200"/>
        <w:rPr>
          <w:rStyle w:val="16"/>
          <w:szCs w:val="32"/>
        </w:rPr>
      </w:pPr>
      <w:r>
        <w:rPr>
          <w:rStyle w:val="16"/>
          <w:rFonts w:hint="eastAsia"/>
          <w:szCs w:val="32"/>
        </w:rPr>
        <w:t>2023年5月至</w:t>
      </w:r>
      <w:r>
        <w:rPr>
          <w:rStyle w:val="16"/>
          <w:szCs w:val="32"/>
        </w:rPr>
        <w:t>10</w:t>
      </w:r>
      <w:r>
        <w:rPr>
          <w:rStyle w:val="16"/>
          <w:rFonts w:hint="eastAsia"/>
          <w:szCs w:val="32"/>
        </w:rPr>
        <w:t>月，开展标准起草工作。</w:t>
      </w:r>
    </w:p>
    <w:p>
      <w:pPr>
        <w:ind w:firstLine="640" w:firstLineChars="200"/>
        <w:rPr>
          <w:rStyle w:val="16"/>
          <w:szCs w:val="32"/>
        </w:rPr>
      </w:pPr>
      <w:r>
        <w:rPr>
          <w:rStyle w:val="16"/>
          <w:rFonts w:hint="eastAsia"/>
          <w:szCs w:val="32"/>
        </w:rPr>
        <w:t>（1）2023年5月至</w:t>
      </w:r>
      <w:r>
        <w:rPr>
          <w:rStyle w:val="16"/>
          <w:szCs w:val="32"/>
        </w:rPr>
        <w:t>8</w:t>
      </w:r>
      <w:r>
        <w:rPr>
          <w:rStyle w:val="16"/>
          <w:rFonts w:hint="eastAsia"/>
          <w:szCs w:val="32"/>
        </w:rPr>
        <w:t>月，标准编制组结合已有的</w:t>
      </w:r>
      <w:r>
        <w:rPr>
          <w:rStyle w:val="16"/>
          <w:szCs w:val="32"/>
        </w:rPr>
        <w:t>机场容量评估</w:t>
      </w:r>
      <w:r>
        <w:rPr>
          <w:rStyle w:val="16"/>
          <w:rFonts w:hint="eastAsia"/>
          <w:szCs w:val="32"/>
        </w:rPr>
        <w:t>相关</w:t>
      </w:r>
      <w:r>
        <w:rPr>
          <w:rStyle w:val="16"/>
          <w:szCs w:val="32"/>
        </w:rPr>
        <w:t>规范文件</w:t>
      </w:r>
      <w:r>
        <w:rPr>
          <w:rStyle w:val="16"/>
          <w:rFonts w:hint="eastAsia"/>
          <w:szCs w:val="32"/>
        </w:rPr>
        <w:t>及国内</w:t>
      </w:r>
      <w:r>
        <w:rPr>
          <w:rStyle w:val="16"/>
          <w:szCs w:val="32"/>
        </w:rPr>
        <w:t>机场实际运行情况，</w:t>
      </w:r>
      <w:r>
        <w:rPr>
          <w:rStyle w:val="16"/>
          <w:rFonts w:hint="eastAsia"/>
          <w:szCs w:val="32"/>
        </w:rPr>
        <w:t>开展标准起草工作，</w:t>
      </w:r>
      <w:r>
        <w:rPr>
          <w:rStyle w:val="16"/>
          <w:szCs w:val="32"/>
        </w:rPr>
        <w:t>完成标准初稿</w:t>
      </w:r>
      <w:r>
        <w:rPr>
          <w:rStyle w:val="16"/>
          <w:rFonts w:hint="eastAsia"/>
          <w:szCs w:val="32"/>
        </w:rPr>
        <w:t>。</w:t>
      </w:r>
    </w:p>
    <w:p>
      <w:pPr>
        <w:ind w:firstLine="640" w:firstLineChars="200"/>
        <w:rPr>
          <w:rStyle w:val="16"/>
          <w:szCs w:val="32"/>
        </w:rPr>
      </w:pPr>
      <w:r>
        <w:rPr>
          <w:rStyle w:val="16"/>
          <w:rFonts w:hint="eastAsia"/>
          <w:szCs w:val="32"/>
        </w:rPr>
        <w:t>（2）2023年9月至</w:t>
      </w:r>
      <w:r>
        <w:rPr>
          <w:rStyle w:val="16"/>
          <w:szCs w:val="32"/>
        </w:rPr>
        <w:t>10</w:t>
      </w:r>
      <w:r>
        <w:rPr>
          <w:rStyle w:val="16"/>
          <w:rFonts w:hint="eastAsia"/>
          <w:szCs w:val="32"/>
        </w:rPr>
        <w:t>月，通过咨询业内专家，内部讨论等方式，对初稿进行多轮修改，形成《机场容量</w:t>
      </w:r>
      <w:r>
        <w:rPr>
          <w:rStyle w:val="16"/>
          <w:szCs w:val="32"/>
        </w:rPr>
        <w:t>评估技术规范</w:t>
      </w:r>
      <w:r>
        <w:rPr>
          <w:rStyle w:val="16"/>
          <w:rFonts w:hint="eastAsia"/>
          <w:szCs w:val="32"/>
        </w:rPr>
        <w:t>》行业</w:t>
      </w:r>
      <w:r>
        <w:rPr>
          <w:rStyle w:val="16"/>
          <w:szCs w:val="32"/>
        </w:rPr>
        <w:t>标准</w:t>
      </w:r>
      <w:r>
        <w:rPr>
          <w:rStyle w:val="16"/>
          <w:rFonts w:hint="eastAsia"/>
          <w:szCs w:val="32"/>
        </w:rPr>
        <w:t>修订稿草案。</w:t>
      </w:r>
    </w:p>
    <w:p>
      <w:pPr>
        <w:ind w:firstLine="640" w:firstLineChars="200"/>
        <w:rPr>
          <w:szCs w:val="32"/>
        </w:rPr>
      </w:pPr>
      <w:r>
        <w:rPr>
          <w:rFonts w:hint="eastAsia"/>
        </w:rPr>
        <w:t>5</w:t>
      </w:r>
      <w:r>
        <w:rPr>
          <w:rFonts w:hint="eastAsia"/>
          <w:szCs w:val="32"/>
        </w:rPr>
        <w:t>．</w:t>
      </w:r>
      <w:r>
        <w:rPr>
          <w:szCs w:val="32"/>
        </w:rPr>
        <w:t>中期评审</w:t>
      </w:r>
    </w:p>
    <w:p>
      <w:pPr>
        <w:ind w:firstLine="640" w:firstLineChars="200"/>
        <w:rPr>
          <w:rStyle w:val="16"/>
          <w:szCs w:val="32"/>
        </w:rPr>
      </w:pPr>
      <w:r>
        <w:rPr>
          <w:rStyle w:val="16"/>
          <w:szCs w:val="32"/>
        </w:rPr>
        <w:t>2023</w:t>
      </w:r>
      <w:r>
        <w:rPr>
          <w:rStyle w:val="16"/>
          <w:rFonts w:hint="eastAsia"/>
          <w:szCs w:val="32"/>
        </w:rPr>
        <w:t>年1</w:t>
      </w:r>
      <w:r>
        <w:rPr>
          <w:rStyle w:val="16"/>
          <w:szCs w:val="32"/>
        </w:rPr>
        <w:t>1</w:t>
      </w:r>
      <w:r>
        <w:rPr>
          <w:rStyle w:val="16"/>
          <w:rFonts w:hint="eastAsia"/>
          <w:szCs w:val="32"/>
        </w:rPr>
        <w:t>月2</w:t>
      </w:r>
      <w:r>
        <w:rPr>
          <w:rStyle w:val="16"/>
          <w:szCs w:val="32"/>
        </w:rPr>
        <w:t>3</w:t>
      </w:r>
      <w:r>
        <w:rPr>
          <w:rStyle w:val="16"/>
          <w:rFonts w:hint="eastAsia"/>
          <w:szCs w:val="32"/>
        </w:rPr>
        <w:t>日，中国民航科学技术研究院</w:t>
      </w:r>
      <w:r>
        <w:rPr>
          <w:rStyle w:val="16"/>
          <w:szCs w:val="32"/>
        </w:rPr>
        <w:t>组织召开了标准</w:t>
      </w:r>
      <w:r>
        <w:rPr>
          <w:rStyle w:val="16"/>
          <w:rFonts w:hint="eastAsia"/>
          <w:szCs w:val="32"/>
        </w:rPr>
        <w:t>中期</w:t>
      </w:r>
      <w:r>
        <w:rPr>
          <w:rStyle w:val="16"/>
          <w:szCs w:val="32"/>
        </w:rPr>
        <w:t>评审会</w:t>
      </w:r>
      <w:r>
        <w:rPr>
          <w:rStyle w:val="16"/>
          <w:rFonts w:hint="eastAsia"/>
          <w:szCs w:val="32"/>
        </w:rPr>
        <w:t>，中国民用航空局空管行业管理办公室作为</w:t>
      </w:r>
      <w:r>
        <w:rPr>
          <w:rFonts w:hint="eastAsia"/>
          <w:szCs w:val="32"/>
        </w:rPr>
        <w:t>中国民用航空局</w:t>
      </w:r>
      <w:r>
        <w:rPr>
          <w:rStyle w:val="16"/>
          <w:rFonts w:hint="eastAsia"/>
          <w:szCs w:val="32"/>
        </w:rPr>
        <w:t>主管业务司局，派员参加了会议。会上评审专家组7人听取了标准起草单位关于标准的编制过程、技术要点和征求意见草案编写情况的汇报后，对标准全文进行了技术审查，并逐条评审，形成专家组意见</w:t>
      </w:r>
      <w:r>
        <w:rPr>
          <w:rStyle w:val="16"/>
          <w:szCs w:val="32"/>
        </w:rPr>
        <w:t>7</w:t>
      </w:r>
      <w:r>
        <w:rPr>
          <w:rStyle w:val="16"/>
          <w:rFonts w:hint="eastAsia"/>
          <w:szCs w:val="32"/>
        </w:rPr>
        <w:t>条，评审专家组一致同意《机场容量评估技术规范》民航行业标准计划外项目通过技术评审。</w:t>
      </w:r>
    </w:p>
    <w:p>
      <w:pPr>
        <w:ind w:firstLine="640" w:firstLineChars="200"/>
        <w:rPr>
          <w:szCs w:val="32"/>
        </w:rPr>
      </w:pPr>
      <w:r>
        <w:rPr>
          <w:rStyle w:val="16"/>
          <w:szCs w:val="32"/>
        </w:rPr>
        <w:t>6</w:t>
      </w:r>
      <w:r>
        <w:rPr>
          <w:rFonts w:hint="eastAsia"/>
          <w:szCs w:val="32"/>
        </w:rPr>
        <w:t>．</w:t>
      </w:r>
      <w:r>
        <w:rPr>
          <w:szCs w:val="32"/>
        </w:rPr>
        <w:t>形成标准征求意见稿</w:t>
      </w:r>
    </w:p>
    <w:p>
      <w:pPr>
        <w:ind w:firstLine="640" w:firstLineChars="200"/>
        <w:rPr>
          <w:rStyle w:val="16"/>
          <w:szCs w:val="32"/>
        </w:rPr>
      </w:pPr>
      <w:r>
        <w:rPr>
          <w:rStyle w:val="16"/>
          <w:szCs w:val="32"/>
        </w:rPr>
        <w:t>2023年</w:t>
      </w:r>
      <w:r>
        <w:rPr>
          <w:rStyle w:val="16"/>
          <w:rFonts w:hint="eastAsia"/>
          <w:szCs w:val="32"/>
        </w:rPr>
        <w:t>1</w:t>
      </w:r>
      <w:r>
        <w:rPr>
          <w:rStyle w:val="16"/>
          <w:szCs w:val="32"/>
        </w:rPr>
        <w:t>1月至</w:t>
      </w:r>
      <w:r>
        <w:rPr>
          <w:rStyle w:val="16"/>
          <w:rFonts w:hint="eastAsia"/>
          <w:szCs w:val="32"/>
        </w:rPr>
        <w:t>2</w:t>
      </w:r>
      <w:r>
        <w:rPr>
          <w:rStyle w:val="16"/>
          <w:szCs w:val="32"/>
        </w:rPr>
        <w:t>024</w:t>
      </w:r>
      <w:r>
        <w:rPr>
          <w:rStyle w:val="16"/>
          <w:rFonts w:hint="eastAsia"/>
          <w:szCs w:val="32"/>
        </w:rPr>
        <w:t>年1</w:t>
      </w:r>
      <w:r>
        <w:rPr>
          <w:rStyle w:val="16"/>
          <w:szCs w:val="32"/>
        </w:rPr>
        <w:t>月，在评审专家的意见建议基础上，编制组不断修改完善标准</w:t>
      </w:r>
      <w:r>
        <w:rPr>
          <w:rStyle w:val="16"/>
          <w:rFonts w:hint="eastAsia"/>
          <w:szCs w:val="32"/>
        </w:rPr>
        <w:t>文本</w:t>
      </w:r>
      <w:r>
        <w:rPr>
          <w:rStyle w:val="16"/>
          <w:szCs w:val="32"/>
        </w:rPr>
        <w:t>，同时邀请行业内专家对修改后的标准进行审核，依据审核意见，持续进行修订完善</w:t>
      </w:r>
      <w:r>
        <w:rPr>
          <w:rStyle w:val="16"/>
          <w:rFonts w:hint="eastAsia"/>
          <w:szCs w:val="32"/>
        </w:rPr>
        <w:t>，形成标准征求意见稿</w:t>
      </w:r>
      <w:r>
        <w:rPr>
          <w:rStyle w:val="16"/>
          <w:szCs w:val="32"/>
        </w:rPr>
        <w:t>。</w:t>
      </w:r>
    </w:p>
    <w:p>
      <w:pPr>
        <w:ind w:firstLine="640" w:firstLineChars="200"/>
        <w:outlineLvl w:val="0"/>
        <w:rPr>
          <w:rFonts w:eastAsia="黑体"/>
          <w:bCs/>
          <w:szCs w:val="32"/>
        </w:rPr>
      </w:pPr>
      <w:r>
        <w:rPr>
          <w:rFonts w:eastAsia="黑体"/>
          <w:bCs/>
          <w:szCs w:val="32"/>
        </w:rPr>
        <w:t>二、编写原则和主要内容（如技术指标、参数、公式、性能要求、试验方法、试验规则等）的编写论据（包括计算、测试、统计等数据），修订标准时应说明主要技术内容的修改情况</w:t>
      </w:r>
    </w:p>
    <w:p>
      <w:pPr>
        <w:ind w:firstLine="640" w:firstLineChars="200"/>
        <w:rPr>
          <w:rStyle w:val="16"/>
          <w:rFonts w:ascii="楷体" w:hAnsi="楷体" w:eastAsia="楷体"/>
          <w:szCs w:val="32"/>
        </w:rPr>
      </w:pPr>
      <w:r>
        <w:rPr>
          <w:rStyle w:val="16"/>
          <w:rFonts w:ascii="楷体" w:hAnsi="楷体" w:eastAsia="楷体"/>
          <w:szCs w:val="32"/>
        </w:rPr>
        <w:t>（一）标准编写原则</w:t>
      </w:r>
    </w:p>
    <w:p>
      <w:pPr>
        <w:ind w:firstLine="640" w:firstLineChars="200"/>
        <w:rPr>
          <w:rStyle w:val="16"/>
          <w:szCs w:val="32"/>
        </w:rPr>
      </w:pPr>
      <w:r>
        <w:rPr>
          <w:rStyle w:val="16"/>
          <w:rFonts w:hint="eastAsia"/>
          <w:szCs w:val="32"/>
        </w:rPr>
        <w:t>本标准在编制过程中体现了合理性、先进性和</w:t>
      </w:r>
      <w:r>
        <w:rPr>
          <w:rStyle w:val="16"/>
          <w:szCs w:val="32"/>
        </w:rPr>
        <w:t>创新性</w:t>
      </w:r>
      <w:r>
        <w:rPr>
          <w:rStyle w:val="16"/>
          <w:rFonts w:hint="eastAsia"/>
          <w:szCs w:val="32"/>
        </w:rPr>
        <w:t>原则。</w:t>
      </w:r>
    </w:p>
    <w:p>
      <w:pPr>
        <w:ind w:firstLine="640" w:firstLineChars="200"/>
        <w:rPr>
          <w:rStyle w:val="16"/>
          <w:szCs w:val="32"/>
        </w:rPr>
      </w:pPr>
      <w:r>
        <w:rPr>
          <w:rStyle w:val="16"/>
          <w:rFonts w:hint="eastAsia"/>
          <w:szCs w:val="32"/>
        </w:rPr>
        <w:t>合理性原则体现在与国内实际情况相结合。工作组结合我国民航行业发展现状和实际工作要求，统筹平衡各方要求，考虑标准要求的普适性和合理性，对技术规范的部分内容进行了修订。</w:t>
      </w:r>
    </w:p>
    <w:p>
      <w:pPr>
        <w:ind w:firstLine="640" w:firstLineChars="200"/>
        <w:rPr>
          <w:rStyle w:val="16"/>
          <w:szCs w:val="32"/>
        </w:rPr>
      </w:pPr>
      <w:r>
        <w:rPr>
          <w:rStyle w:val="16"/>
          <w:rFonts w:hint="eastAsia"/>
          <w:szCs w:val="32"/>
        </w:rPr>
        <w:t>先进性原则体现在项目提出的机场容量评估评估方法，符合机场容量科学客观分析评估需求，能够为航班时刻管理、机场运行和空中交通管理提供基本依据，并对机场运行优化措施提出合理化建议。项目研究所涉及到的计算机仿真评估技术、管制工作负荷评估技术，都是当前主流技术。</w:t>
      </w:r>
    </w:p>
    <w:p>
      <w:pPr>
        <w:ind w:firstLine="640" w:firstLineChars="200"/>
        <w:rPr>
          <w:rStyle w:val="16"/>
          <w:szCs w:val="32"/>
        </w:rPr>
      </w:pPr>
      <w:r>
        <w:rPr>
          <w:rStyle w:val="16"/>
          <w:rFonts w:hint="eastAsia"/>
          <w:szCs w:val="32"/>
        </w:rPr>
        <w:t>创新</w:t>
      </w:r>
      <w:r>
        <w:rPr>
          <w:rStyle w:val="16"/>
          <w:szCs w:val="32"/>
        </w:rPr>
        <w:t>性原则体现在</w:t>
      </w:r>
      <w:r>
        <w:rPr>
          <w:rStyle w:val="16"/>
          <w:rFonts w:hint="eastAsia"/>
          <w:szCs w:val="32"/>
        </w:rPr>
        <w:t>目前国内尚无机场容量评估技术的相关标准，本项目出台的行业标准为业内首创，未来可在行业内进行推广。</w:t>
      </w:r>
    </w:p>
    <w:p>
      <w:pPr>
        <w:ind w:firstLine="640" w:firstLineChars="200"/>
        <w:jc w:val="left"/>
        <w:rPr>
          <w:rFonts w:eastAsia="楷体"/>
        </w:rPr>
      </w:pPr>
      <w:r>
        <w:rPr>
          <w:rFonts w:eastAsia="楷体"/>
        </w:rPr>
        <w:t>（二）标准主要内容</w:t>
      </w:r>
    </w:p>
    <w:p>
      <w:pPr>
        <w:ind w:firstLine="640" w:firstLineChars="200"/>
      </w:pPr>
      <w:r>
        <w:rPr>
          <w:rFonts w:hint="eastAsia"/>
        </w:rPr>
        <w:t>本标准文件共包括</w:t>
      </w:r>
      <w:r>
        <w:t>8</w:t>
      </w:r>
      <w:r>
        <w:rPr>
          <w:rFonts w:hint="eastAsia"/>
        </w:rPr>
        <w:t>章正文。</w:t>
      </w:r>
    </w:p>
    <w:p>
      <w:pPr>
        <w:ind w:firstLine="640" w:firstLineChars="200"/>
      </w:pPr>
      <w:r>
        <w:rPr>
          <w:rFonts w:hint="eastAsia"/>
        </w:rPr>
        <w:t>第1、2、3章，为标准的常规性描述，包括范围、规范性引用文件、术语和定义。</w:t>
      </w:r>
    </w:p>
    <w:p>
      <w:pPr>
        <w:ind w:firstLine="640" w:firstLineChars="200"/>
      </w:pPr>
      <w:r>
        <w:rPr>
          <w:rFonts w:hint="eastAsia"/>
        </w:rPr>
        <w:t>第4章对机场容量评估工作程序要求进行描述。</w:t>
      </w:r>
    </w:p>
    <w:p>
      <w:pPr>
        <w:ind w:firstLine="640" w:firstLineChars="200"/>
      </w:pPr>
      <w:r>
        <w:rPr>
          <w:rFonts w:hint="eastAsia"/>
        </w:rPr>
        <w:t>第5章对</w:t>
      </w:r>
      <w:r>
        <w:t>机场容量评估数据采集</w:t>
      </w:r>
      <w:r>
        <w:rPr>
          <w:rFonts w:hint="eastAsia"/>
        </w:rPr>
        <w:t>一般要求、</w:t>
      </w:r>
      <w:r>
        <w:t>数据采集</w:t>
      </w:r>
      <w:r>
        <w:rPr>
          <w:rFonts w:hint="eastAsia"/>
        </w:rPr>
        <w:t>具体</w:t>
      </w:r>
      <w:r>
        <w:t>内容</w:t>
      </w:r>
      <w:r>
        <w:rPr>
          <w:rFonts w:hint="eastAsia"/>
        </w:rPr>
        <w:t>及参数</w:t>
      </w:r>
      <w:r>
        <w:t>标准</w:t>
      </w:r>
      <w:r>
        <w:rPr>
          <w:rFonts w:hint="eastAsia"/>
        </w:rPr>
        <w:t>要求进行了</w:t>
      </w:r>
      <w:r>
        <w:t>规范</w:t>
      </w:r>
      <w:r>
        <w:rPr>
          <w:rFonts w:hint="eastAsia"/>
        </w:rPr>
        <w:t>。</w:t>
      </w:r>
    </w:p>
    <w:p>
      <w:pPr>
        <w:ind w:firstLine="640" w:firstLineChars="200"/>
      </w:pPr>
      <w:r>
        <w:rPr>
          <w:rFonts w:hint="eastAsia"/>
        </w:rPr>
        <w:t>第6章对机场容量评估方法包含基于历史统计数据的评估方法、基于数学计算模型的评估方法、基于计算机仿真模型的评估方法和基于管制员工作负荷的评估方法四种评估</w:t>
      </w:r>
      <w:r>
        <w:t>方法</w:t>
      </w:r>
      <w:r>
        <w:rPr>
          <w:rFonts w:hint="eastAsia"/>
        </w:rPr>
        <w:t>的</w:t>
      </w:r>
      <w:r>
        <w:t>基本概述、</w:t>
      </w:r>
      <w:r>
        <w:rPr>
          <w:rFonts w:hint="eastAsia"/>
        </w:rPr>
        <w:t>适用</w:t>
      </w:r>
      <w:r>
        <w:t>情况、评估方法</w:t>
      </w:r>
      <w:r>
        <w:rPr>
          <w:rFonts w:hint="eastAsia"/>
        </w:rPr>
        <w:t>和</w:t>
      </w:r>
      <w:r>
        <w:t>流程</w:t>
      </w:r>
      <w:r>
        <w:rPr>
          <w:rFonts w:hint="eastAsia"/>
        </w:rPr>
        <w:t>等技术要求进行完整阐述。</w:t>
      </w:r>
    </w:p>
    <w:p>
      <w:pPr>
        <w:ind w:firstLine="640" w:firstLineChars="200"/>
      </w:pPr>
      <w:r>
        <w:rPr>
          <w:rFonts w:hint="eastAsia"/>
        </w:rPr>
        <w:t>第7章对机场容量评估方法包含基于历史统计数据的评估方法、基于数学计算模型的评估方法、基于计算机仿真模型的评估方法和基于管制员工作负荷的评估方法四种评估</w:t>
      </w:r>
      <w:r>
        <w:t>方法</w:t>
      </w:r>
      <w:r>
        <w:rPr>
          <w:rFonts w:hint="eastAsia"/>
        </w:rPr>
        <w:t>的输出</w:t>
      </w:r>
      <w:r>
        <w:t>内容要求</w:t>
      </w:r>
      <w:r>
        <w:rPr>
          <w:rFonts w:hint="eastAsia"/>
        </w:rPr>
        <w:t>进行了规范，</w:t>
      </w:r>
      <w:r>
        <w:t>并对</w:t>
      </w:r>
      <w:r>
        <w:rPr>
          <w:rFonts w:hint="eastAsia"/>
        </w:rPr>
        <w:t>机场容量的确定要求进行</w:t>
      </w:r>
      <w:r>
        <w:t>描述</w:t>
      </w:r>
      <w:r>
        <w:rPr>
          <w:rFonts w:hint="eastAsia"/>
        </w:rPr>
        <w:t>。</w:t>
      </w:r>
    </w:p>
    <w:p>
      <w:pPr>
        <w:ind w:firstLine="640" w:firstLineChars="200"/>
      </w:pPr>
      <w:r>
        <w:rPr>
          <w:rFonts w:hint="eastAsia"/>
        </w:rPr>
        <w:t>第8章对机场</w:t>
      </w:r>
      <w:r>
        <w:t>容量评估报告内容</w:t>
      </w:r>
      <w:r>
        <w:rPr>
          <w:rFonts w:hint="eastAsia"/>
        </w:rPr>
        <w:t>进行</w:t>
      </w:r>
      <w:r>
        <w:t>了规范</w:t>
      </w:r>
      <w:r>
        <w:rPr>
          <w:rFonts w:hint="eastAsia"/>
        </w:rPr>
        <w:t>。</w:t>
      </w:r>
    </w:p>
    <w:p>
      <w:pPr>
        <w:ind w:firstLine="640" w:firstLineChars="200"/>
      </w:pPr>
      <w:r>
        <w:rPr>
          <w:rFonts w:hint="eastAsia"/>
        </w:rPr>
        <w:t>第</w:t>
      </w:r>
      <w:r>
        <w:t>9</w:t>
      </w:r>
      <w:r>
        <w:rPr>
          <w:rFonts w:hint="eastAsia"/>
        </w:rPr>
        <w:t>章对机场群</w:t>
      </w:r>
      <w:r>
        <w:t>容量评估</w:t>
      </w:r>
      <w:r>
        <w:rPr>
          <w:rFonts w:hint="eastAsia"/>
        </w:rPr>
        <w:t>要求进行</w:t>
      </w:r>
      <w:r>
        <w:t>了规范</w:t>
      </w:r>
      <w:r>
        <w:rPr>
          <w:rFonts w:hint="eastAsia"/>
        </w:rPr>
        <w:t>。</w:t>
      </w:r>
    </w:p>
    <w:p>
      <w:pPr>
        <w:ind w:firstLine="640" w:firstLineChars="200"/>
      </w:pPr>
      <w:r>
        <w:rPr>
          <w:rFonts w:hint="eastAsia"/>
        </w:rPr>
        <w:t>附录A对</w:t>
      </w:r>
      <w:r>
        <w:t>跑道理论</w:t>
      </w:r>
      <w:r>
        <w:rPr>
          <w:rFonts w:hint="eastAsia"/>
        </w:rPr>
        <w:t>基本</w:t>
      </w:r>
      <w:r>
        <w:t>计算公式</w:t>
      </w:r>
      <w:r>
        <w:rPr>
          <w:rFonts w:hint="eastAsia"/>
        </w:rPr>
        <w:t>及单跑道</w:t>
      </w:r>
      <w:r>
        <w:t>、双跑道和三跑道</w:t>
      </w:r>
      <w:r>
        <w:rPr>
          <w:rFonts w:hint="eastAsia"/>
        </w:rPr>
        <w:t>的跑道理论</w:t>
      </w:r>
      <w:r>
        <w:t>容量数学</w:t>
      </w:r>
      <w:r>
        <w:rPr>
          <w:rFonts w:hint="eastAsia"/>
        </w:rPr>
        <w:t>计算模型及计算</w:t>
      </w:r>
      <w:r>
        <w:t>方法进行了描述</w:t>
      </w:r>
      <w:r>
        <w:rPr>
          <w:rFonts w:hint="eastAsia"/>
        </w:rPr>
        <w:t>和</w:t>
      </w:r>
      <w:r>
        <w:t>规范</w:t>
      </w:r>
      <w:r>
        <w:rPr>
          <w:rFonts w:hint="eastAsia"/>
        </w:rPr>
        <w:t>。</w:t>
      </w:r>
    </w:p>
    <w:p>
      <w:pPr>
        <w:ind w:firstLine="640" w:firstLineChars="200"/>
      </w:pPr>
      <w:r>
        <w:rPr>
          <w:rFonts w:hint="eastAsia"/>
        </w:rPr>
        <w:t>附录B对航站楼容量</w:t>
      </w:r>
      <w:r>
        <w:t>评估</w:t>
      </w:r>
      <w:r>
        <w:rPr>
          <w:rFonts w:hint="eastAsia"/>
        </w:rPr>
        <w:t>数学</w:t>
      </w:r>
      <w:r>
        <w:t>模型包括值机</w:t>
      </w:r>
      <w:r>
        <w:rPr>
          <w:rFonts w:hint="eastAsia"/>
        </w:rPr>
        <w:t>、</w:t>
      </w:r>
      <w:r>
        <w:t>安检、行李提取转盘理论</w:t>
      </w:r>
      <w:r>
        <w:rPr>
          <w:rFonts w:hint="eastAsia"/>
        </w:rPr>
        <w:t>容量数学</w:t>
      </w:r>
      <w:r>
        <w:t>计算</w:t>
      </w:r>
      <w:r>
        <w:rPr>
          <w:rFonts w:hint="eastAsia"/>
        </w:rPr>
        <w:t>模型</w:t>
      </w:r>
      <w:r>
        <w:t>和计算方法进行了描述</w:t>
      </w:r>
      <w:r>
        <w:rPr>
          <w:rFonts w:hint="eastAsia"/>
        </w:rPr>
        <w:t>和</w:t>
      </w:r>
      <w:r>
        <w:t>规范</w:t>
      </w:r>
      <w:r>
        <w:rPr>
          <w:rFonts w:hint="eastAsia"/>
        </w:rPr>
        <w:t>。</w:t>
      </w:r>
    </w:p>
    <w:p>
      <w:pPr>
        <w:ind w:firstLine="640" w:firstLineChars="200"/>
      </w:pPr>
      <w:r>
        <w:rPr>
          <w:rFonts w:hint="eastAsia"/>
        </w:rPr>
        <w:t>附录C对航站楼计算机仿真</w:t>
      </w:r>
      <w:r>
        <w:t>评估</w:t>
      </w:r>
      <w:r>
        <w:rPr>
          <w:rFonts w:hint="eastAsia"/>
        </w:rPr>
        <w:t>的总体</w:t>
      </w:r>
      <w:r>
        <w:t>评估流程、参数确定、仿真建模</w:t>
      </w:r>
      <w:r>
        <w:rPr>
          <w:rFonts w:hint="eastAsia"/>
        </w:rPr>
        <w:t>、仿真</w:t>
      </w:r>
      <w:r>
        <w:t>系统校验、仿真实施与分析</w:t>
      </w:r>
      <w:r>
        <w:rPr>
          <w:rFonts w:hint="eastAsia"/>
        </w:rPr>
        <w:t>、仿真系统调压分析、仿真结果与建议部分分别做</w:t>
      </w:r>
      <w:r>
        <w:t>了描述</w:t>
      </w:r>
      <w:r>
        <w:rPr>
          <w:rFonts w:hint="eastAsia"/>
        </w:rPr>
        <w:t>和</w:t>
      </w:r>
      <w:r>
        <w:t>规范</w:t>
      </w:r>
      <w:r>
        <w:rPr>
          <w:rFonts w:hint="eastAsia"/>
        </w:rPr>
        <w:t>。</w:t>
      </w:r>
    </w:p>
    <w:p>
      <w:pPr>
        <w:ind w:firstLine="640" w:firstLineChars="200"/>
        <w:jc w:val="left"/>
        <w:rPr>
          <w:rFonts w:eastAsia="楷体"/>
        </w:rPr>
      </w:pPr>
      <w:r>
        <w:rPr>
          <w:rFonts w:hint="eastAsia" w:eastAsia="楷体"/>
        </w:rPr>
        <w:t>（三）修订</w:t>
      </w:r>
      <w:r>
        <w:rPr>
          <w:rFonts w:eastAsia="楷体"/>
        </w:rPr>
        <w:t>标准新、旧版本主要技术内容改变的说明</w:t>
      </w:r>
    </w:p>
    <w:p>
      <w:pPr>
        <w:ind w:firstLine="640" w:firstLineChars="200"/>
        <w:rPr>
          <w:rStyle w:val="16"/>
          <w:szCs w:val="32"/>
        </w:rPr>
      </w:pPr>
      <w:r>
        <w:rPr>
          <w:rStyle w:val="16"/>
          <w:rFonts w:hint="eastAsia"/>
          <w:szCs w:val="32"/>
        </w:rPr>
        <w:t>本标准为新制定标准。</w:t>
      </w:r>
    </w:p>
    <w:p>
      <w:pPr>
        <w:ind w:firstLine="640" w:firstLineChars="200"/>
        <w:outlineLvl w:val="0"/>
        <w:rPr>
          <w:rFonts w:eastAsia="黑体"/>
          <w:bCs/>
          <w:szCs w:val="32"/>
        </w:rPr>
      </w:pPr>
      <w:r>
        <w:rPr>
          <w:rFonts w:eastAsia="黑体"/>
          <w:bCs/>
          <w:szCs w:val="32"/>
        </w:rPr>
        <w:t>三、是否涉及专利，涉及专利的，说明专利名称、编号及相关信息</w:t>
      </w:r>
    </w:p>
    <w:p>
      <w:pPr>
        <w:ind w:firstLine="640" w:firstLineChars="200"/>
        <w:rPr>
          <w:rStyle w:val="16"/>
          <w:szCs w:val="32"/>
        </w:rPr>
      </w:pPr>
      <w:r>
        <w:rPr>
          <w:rStyle w:val="16"/>
          <w:rFonts w:hint="eastAsia"/>
          <w:szCs w:val="32"/>
        </w:rPr>
        <w:t>本</w:t>
      </w:r>
      <w:r>
        <w:rPr>
          <w:rStyle w:val="16"/>
          <w:szCs w:val="32"/>
        </w:rPr>
        <w:t>标准</w:t>
      </w:r>
      <w:r>
        <w:rPr>
          <w:rStyle w:val="16"/>
          <w:rFonts w:hint="eastAsia"/>
          <w:szCs w:val="32"/>
        </w:rPr>
        <w:t>不</w:t>
      </w:r>
      <w:r>
        <w:rPr>
          <w:rStyle w:val="16"/>
          <w:szCs w:val="32"/>
        </w:rPr>
        <w:t>涉及专利</w:t>
      </w:r>
      <w:r>
        <w:rPr>
          <w:rStyle w:val="16"/>
          <w:rFonts w:hint="eastAsia"/>
          <w:szCs w:val="32"/>
        </w:rPr>
        <w:t>。</w:t>
      </w:r>
    </w:p>
    <w:p>
      <w:pPr>
        <w:ind w:firstLine="640" w:firstLineChars="200"/>
        <w:outlineLvl w:val="0"/>
        <w:rPr>
          <w:rFonts w:eastAsia="黑体"/>
          <w:bCs/>
          <w:szCs w:val="32"/>
        </w:rPr>
      </w:pPr>
      <w:r>
        <w:rPr>
          <w:rFonts w:eastAsia="黑体"/>
          <w:bCs/>
          <w:szCs w:val="32"/>
        </w:rPr>
        <w:t>四、主要试验或验证的分析、综述报告、技术论证、预期的经济效益和社会效益</w:t>
      </w:r>
    </w:p>
    <w:p>
      <w:pPr>
        <w:ind w:firstLine="640" w:firstLineChars="200"/>
        <w:jc w:val="left"/>
        <w:rPr>
          <w:rFonts w:eastAsia="楷体"/>
        </w:rPr>
      </w:pPr>
      <w:r>
        <w:rPr>
          <w:rFonts w:eastAsia="楷体"/>
        </w:rPr>
        <w:t>（一）主要试验或验证的分析、综述报告、技术论证</w:t>
      </w:r>
    </w:p>
    <w:p>
      <w:pPr>
        <w:ind w:firstLine="640" w:firstLineChars="200"/>
        <w:rPr>
          <w:rStyle w:val="16"/>
          <w:szCs w:val="32"/>
        </w:rPr>
      </w:pPr>
      <w:r>
        <w:rPr>
          <w:rStyle w:val="16"/>
          <w:rFonts w:hint="eastAsia"/>
          <w:szCs w:val="32"/>
        </w:rPr>
        <w:t>依据本标准技术要求开展的机场容量评估工作已经分别在上海浦东机场、广州白云机场、长沙黄花机场、海口美兰机场等多个机场进行了验证，验证结果科学可靠，容量评估结果已经得到中国民用航空局正式批复。</w:t>
      </w:r>
    </w:p>
    <w:p>
      <w:pPr>
        <w:ind w:firstLine="640" w:firstLineChars="200"/>
        <w:jc w:val="left"/>
        <w:rPr>
          <w:rFonts w:eastAsia="楷体"/>
        </w:rPr>
      </w:pPr>
      <w:r>
        <w:rPr>
          <w:rFonts w:eastAsia="楷体"/>
        </w:rPr>
        <w:t>（二）预期的经济效益</w:t>
      </w:r>
    </w:p>
    <w:p>
      <w:pPr>
        <w:ind w:firstLine="640" w:firstLineChars="200"/>
        <w:rPr>
          <w:rFonts w:eastAsia="楷体"/>
        </w:rPr>
      </w:pPr>
      <w:r>
        <w:rPr>
          <w:rFonts w:hint="eastAsia"/>
        </w:rPr>
        <w:t>通过规范标准化的机场容量评估工作，能够科学地评估机场容量水平</w:t>
      </w:r>
      <w:r>
        <w:rPr>
          <w:rStyle w:val="16"/>
          <w:rFonts w:hint="eastAsia"/>
        </w:rPr>
        <w:t>，支撑科学合理安排航班流量，对于促进机场扩容增效高质量运行，以及</w:t>
      </w:r>
      <w:r>
        <w:rPr>
          <w:rStyle w:val="16"/>
          <w:rFonts w:hint="eastAsia"/>
          <w:szCs w:val="32"/>
        </w:rPr>
        <w:t>提高民航生产单位的</w:t>
      </w:r>
      <w:r>
        <w:rPr>
          <w:rStyle w:val="16"/>
          <w:szCs w:val="32"/>
        </w:rPr>
        <w:t>经济效益</w:t>
      </w:r>
      <w:r>
        <w:rPr>
          <w:rStyle w:val="16"/>
          <w:rFonts w:hint="eastAsia"/>
          <w:szCs w:val="32"/>
        </w:rPr>
        <w:t>、促进地方民航</w:t>
      </w:r>
      <w:r>
        <w:rPr>
          <w:rStyle w:val="16"/>
          <w:szCs w:val="32"/>
        </w:rPr>
        <w:t>发展和地方经济发展</w:t>
      </w:r>
      <w:r>
        <w:rPr>
          <w:rStyle w:val="16"/>
          <w:rFonts w:hint="eastAsia"/>
          <w:szCs w:val="32"/>
        </w:rPr>
        <w:t>等</w:t>
      </w:r>
      <w:r>
        <w:rPr>
          <w:rStyle w:val="16"/>
          <w:szCs w:val="32"/>
        </w:rPr>
        <w:t>均具有重要意义。</w:t>
      </w:r>
    </w:p>
    <w:p>
      <w:pPr>
        <w:ind w:firstLine="640" w:firstLineChars="200"/>
        <w:jc w:val="left"/>
        <w:rPr>
          <w:rFonts w:eastAsia="楷体"/>
        </w:rPr>
      </w:pPr>
      <w:r>
        <w:rPr>
          <w:rFonts w:hint="eastAsia" w:eastAsia="楷体"/>
        </w:rPr>
        <w:t>（三）预期的</w:t>
      </w:r>
      <w:r>
        <w:rPr>
          <w:rFonts w:eastAsia="楷体"/>
        </w:rPr>
        <w:t>社会效益</w:t>
      </w:r>
    </w:p>
    <w:p>
      <w:pPr>
        <w:ind w:firstLine="640" w:firstLineChars="200"/>
      </w:pPr>
      <w:r>
        <w:rPr>
          <w:rStyle w:val="16"/>
          <w:rFonts w:hint="eastAsia"/>
          <w:szCs w:val="32"/>
        </w:rPr>
        <w:t>本标准为机场容量</w:t>
      </w:r>
      <w:r>
        <w:rPr>
          <w:rStyle w:val="16"/>
          <w:szCs w:val="32"/>
        </w:rPr>
        <w:t>评估工作</w:t>
      </w:r>
      <w:r>
        <w:rPr>
          <w:rStyle w:val="16"/>
          <w:rFonts w:hint="eastAsia"/>
          <w:szCs w:val="32"/>
        </w:rPr>
        <w:t>提供重要依据和技术支撑。依据本标准开展的</w:t>
      </w:r>
      <w:r>
        <w:rPr>
          <w:rFonts w:hint="eastAsia"/>
        </w:rPr>
        <w:t>规范化机场容量评估技术工作，将有利于提高机场容量评估工作的科学性和有效性，保证机场容量评估工作质量，提升机场容量评估管理工作效能，助力政府治理体系提升。</w:t>
      </w:r>
    </w:p>
    <w:p>
      <w:pPr>
        <w:ind w:firstLine="640" w:firstLineChars="200"/>
        <w:outlineLvl w:val="0"/>
        <w:rPr>
          <w:rFonts w:eastAsia="黑体"/>
          <w:bCs/>
          <w:szCs w:val="32"/>
        </w:rPr>
      </w:pPr>
      <w:r>
        <w:rPr>
          <w:rFonts w:eastAsia="黑体"/>
          <w:bCs/>
          <w:szCs w:val="32"/>
        </w:rPr>
        <w:t>五、</w:t>
      </w:r>
      <w:bookmarkStart w:id="0" w:name="_Hlk94278741"/>
      <w:r>
        <w:rPr>
          <w:rFonts w:eastAsia="黑体"/>
          <w:bCs/>
          <w:szCs w:val="32"/>
        </w:rPr>
        <w:t>采用国际标准和国外先进标准的程度以及与国际、国外同类标准水平的对比情况</w:t>
      </w:r>
      <w:bookmarkEnd w:id="0"/>
    </w:p>
    <w:p>
      <w:pPr>
        <w:ind w:firstLine="640" w:firstLineChars="200"/>
        <w:rPr>
          <w:rStyle w:val="16"/>
          <w:szCs w:val="32"/>
        </w:rPr>
      </w:pPr>
      <w:r>
        <w:rPr>
          <w:rStyle w:val="16"/>
          <w:rFonts w:hint="eastAsia"/>
          <w:szCs w:val="32"/>
        </w:rPr>
        <w:t>本标准不存在版权问题。</w:t>
      </w:r>
    </w:p>
    <w:p>
      <w:pPr>
        <w:ind w:firstLine="640" w:firstLineChars="200"/>
        <w:outlineLvl w:val="0"/>
        <w:rPr>
          <w:rFonts w:eastAsia="黑体"/>
          <w:bCs/>
          <w:szCs w:val="32"/>
        </w:rPr>
      </w:pPr>
      <w:r>
        <w:rPr>
          <w:rFonts w:eastAsia="黑体"/>
          <w:bCs/>
          <w:szCs w:val="32"/>
        </w:rPr>
        <w:t>六、与有关的现行法律、行政法规、民航规章和国家标准、行业标准的关系</w:t>
      </w:r>
    </w:p>
    <w:p>
      <w:pPr>
        <w:ind w:firstLine="640" w:firstLineChars="200"/>
        <w:rPr>
          <w:szCs w:val="32"/>
        </w:rPr>
      </w:pPr>
      <w:r>
        <w:rPr>
          <w:rStyle w:val="16"/>
          <w:szCs w:val="32"/>
        </w:rPr>
        <w:t>本标准与国内现行法律、法规和国家标准、行业标准相一致，无冲突。</w:t>
      </w:r>
    </w:p>
    <w:p>
      <w:pPr>
        <w:ind w:firstLine="640" w:firstLineChars="200"/>
        <w:jc w:val="left"/>
        <w:outlineLvl w:val="0"/>
        <w:rPr>
          <w:rStyle w:val="16"/>
          <w:rFonts w:eastAsia="黑体"/>
          <w:bCs/>
          <w:szCs w:val="32"/>
        </w:rPr>
      </w:pPr>
      <w:r>
        <w:rPr>
          <w:rFonts w:eastAsia="黑体"/>
          <w:bCs/>
          <w:szCs w:val="32"/>
        </w:rPr>
        <w:t>七、重大</w:t>
      </w:r>
      <w:r>
        <w:rPr>
          <w:rFonts w:hint="eastAsia" w:eastAsia="黑体"/>
          <w:bCs/>
          <w:szCs w:val="32"/>
        </w:rPr>
        <w:t>不同</w:t>
      </w:r>
      <w:r>
        <w:rPr>
          <w:rFonts w:eastAsia="黑体"/>
          <w:bCs/>
          <w:szCs w:val="32"/>
        </w:rPr>
        <w:t>意见的处理和依据</w:t>
      </w:r>
    </w:p>
    <w:p>
      <w:pPr>
        <w:ind w:firstLine="640" w:firstLineChars="200"/>
        <w:rPr>
          <w:rStyle w:val="16"/>
          <w:szCs w:val="32"/>
        </w:rPr>
      </w:pPr>
      <w:r>
        <w:rPr>
          <w:rStyle w:val="16"/>
          <w:rFonts w:hint="eastAsia"/>
          <w:szCs w:val="32"/>
        </w:rPr>
        <w:t>无。</w:t>
      </w:r>
    </w:p>
    <w:p>
      <w:pPr>
        <w:ind w:firstLine="640" w:firstLineChars="200"/>
        <w:outlineLvl w:val="0"/>
        <w:rPr>
          <w:rFonts w:eastAsia="黑体"/>
          <w:bCs/>
          <w:szCs w:val="32"/>
        </w:rPr>
      </w:pPr>
      <w:r>
        <w:rPr>
          <w:rFonts w:eastAsia="黑体"/>
          <w:bCs/>
          <w:szCs w:val="32"/>
        </w:rPr>
        <w:t>八、</w:t>
      </w:r>
      <w:bookmarkStart w:id="1" w:name="_Hlk94280419"/>
      <w:r>
        <w:rPr>
          <w:rFonts w:eastAsia="黑体"/>
          <w:bCs/>
          <w:szCs w:val="32"/>
        </w:rPr>
        <w:t>贯彻标准的要求和措施建议（包括组织措施、技术措施、过渡办法等</w:t>
      </w:r>
      <w:bookmarkEnd w:id="1"/>
      <w:r>
        <w:rPr>
          <w:rFonts w:eastAsia="黑体"/>
          <w:bCs/>
          <w:szCs w:val="32"/>
        </w:rPr>
        <w:t>）</w:t>
      </w:r>
    </w:p>
    <w:p>
      <w:pPr>
        <w:ind w:firstLine="640" w:firstLineChars="200"/>
        <w:rPr>
          <w:rStyle w:val="16"/>
          <w:szCs w:val="32"/>
        </w:rPr>
      </w:pPr>
      <w:r>
        <w:rPr>
          <w:rStyle w:val="16"/>
          <w:rFonts w:hint="eastAsia"/>
          <w:szCs w:val="32"/>
        </w:rPr>
        <w:t>建议本标准发布实施后，代替原有的《机场时刻容量评估技术规范》（</w:t>
      </w:r>
      <w:r>
        <w:rPr>
          <w:rStyle w:val="16"/>
          <w:szCs w:val="32"/>
        </w:rPr>
        <w:t>AP-93-TM-2017-01</w:t>
      </w:r>
      <w:r>
        <w:rPr>
          <w:rStyle w:val="16"/>
          <w:rFonts w:hint="eastAsia"/>
          <w:szCs w:val="32"/>
        </w:rPr>
        <w:t>），在中国民航空管行业内进行下发。并在本标准发布实施后，行业标准化管理单位及时组织本标准宣贯，强化标准技术内容对后续工作的指导。</w:t>
      </w:r>
    </w:p>
    <w:p>
      <w:pPr>
        <w:ind w:firstLine="640" w:firstLineChars="200"/>
        <w:jc w:val="left"/>
        <w:outlineLvl w:val="0"/>
        <w:rPr>
          <w:rFonts w:eastAsia="黑体"/>
          <w:bCs/>
          <w:szCs w:val="32"/>
        </w:rPr>
      </w:pPr>
      <w:r>
        <w:rPr>
          <w:rFonts w:eastAsia="黑体"/>
          <w:bCs/>
          <w:szCs w:val="32"/>
        </w:rPr>
        <w:t>九、废止现行有关标准的建议</w:t>
      </w:r>
    </w:p>
    <w:p>
      <w:pPr>
        <w:ind w:firstLine="640" w:firstLineChars="200"/>
        <w:rPr>
          <w:rStyle w:val="16"/>
          <w:szCs w:val="32"/>
        </w:rPr>
      </w:pPr>
      <w:r>
        <w:rPr>
          <w:rStyle w:val="16"/>
          <w:rFonts w:hint="eastAsia"/>
          <w:szCs w:val="32"/>
        </w:rPr>
        <w:t>无。</w:t>
      </w:r>
    </w:p>
    <w:p>
      <w:pPr>
        <w:ind w:firstLine="640" w:firstLineChars="200"/>
        <w:jc w:val="left"/>
        <w:outlineLvl w:val="0"/>
        <w:rPr>
          <w:rFonts w:eastAsia="黑体"/>
          <w:bCs/>
          <w:szCs w:val="32"/>
        </w:rPr>
      </w:pPr>
      <w:r>
        <w:rPr>
          <w:rFonts w:eastAsia="黑体"/>
          <w:bCs/>
          <w:szCs w:val="32"/>
        </w:rPr>
        <w:t>十、重要内容的解释和其他应说明的事项</w:t>
      </w:r>
    </w:p>
    <w:p>
      <w:pPr>
        <w:ind w:firstLine="640" w:firstLineChars="200"/>
        <w:rPr>
          <w:rStyle w:val="16"/>
          <w:szCs w:val="32"/>
        </w:rPr>
      </w:pPr>
      <w:r>
        <w:rPr>
          <w:rStyle w:val="16"/>
          <w:rFonts w:hint="eastAsia"/>
          <w:szCs w:val="32"/>
        </w:rPr>
        <w:t>无。</w:t>
      </w:r>
    </w:p>
    <w:p>
      <w:pPr>
        <w:ind w:firstLine="640" w:firstLineChars="200"/>
        <w:rPr>
          <w:rStyle w:val="16"/>
          <w:szCs w:val="32"/>
        </w:rPr>
      </w:pPr>
    </w:p>
    <w:p>
      <w:pPr>
        <w:ind w:firstLine="640" w:firstLineChars="200"/>
        <w:rPr>
          <w:rStyle w:val="16"/>
          <w:szCs w:val="32"/>
        </w:rPr>
      </w:pPr>
    </w:p>
    <w:sectPr>
      <w:headerReference r:id="rId5" w:type="default"/>
      <w:footerReference r:id="rId6" w:type="default"/>
      <w:pgSz w:w="11906" w:h="16838"/>
      <w:pgMar w:top="1440" w:right="1800" w:bottom="1440" w:left="1800" w:header="851" w:footer="992" w:gutter="0"/>
      <w:pgNumType w:start="0"/>
      <w:cols w:space="720" w:num="1"/>
      <w:titlePg/>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ourier New">
    <w:altName w:val="DejaVu Sans"/>
    <w:panose1 w:val="02070309020205020404"/>
    <w:charset w:val="00"/>
    <w:family w:val="modern"/>
    <w:pitch w:val="default"/>
    <w:sig w:usb0="00000000" w:usb1="00000000" w:usb2="00000009" w:usb3="00000000" w:csb0="000001FF"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8</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Style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60"/>
  <w:drawingGridVerticalSpacing w:val="435"/>
  <w:displayHorizontalDrawingGridEvery w:val="2"/>
  <w:noPunctuationKerning w:val="true"/>
  <w:characterSpacingControl w:val="doNotCompress"/>
  <w:footnotePr>
    <w:footnote w:id="0"/>
    <w:footnote w:id="1"/>
  </w:footnotePr>
  <w:endnotePr>
    <w:endnote w:id="0"/>
    <w:endnote w:id="1"/>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36"/>
    <w:rsid w:val="00004D84"/>
    <w:rsid w:val="00005D64"/>
    <w:rsid w:val="000117C1"/>
    <w:rsid w:val="000145B0"/>
    <w:rsid w:val="00014620"/>
    <w:rsid w:val="00062848"/>
    <w:rsid w:val="000648C1"/>
    <w:rsid w:val="0006504E"/>
    <w:rsid w:val="00085FE7"/>
    <w:rsid w:val="00095BCA"/>
    <w:rsid w:val="000A58A8"/>
    <w:rsid w:val="000C2AA2"/>
    <w:rsid w:val="000C327B"/>
    <w:rsid w:val="000C5E87"/>
    <w:rsid w:val="000C7E47"/>
    <w:rsid w:val="000D7957"/>
    <w:rsid w:val="00101293"/>
    <w:rsid w:val="00115DFF"/>
    <w:rsid w:val="0013622D"/>
    <w:rsid w:val="00136AE4"/>
    <w:rsid w:val="00141FA2"/>
    <w:rsid w:val="00157547"/>
    <w:rsid w:val="00183CAF"/>
    <w:rsid w:val="001A275C"/>
    <w:rsid w:val="001A5BFC"/>
    <w:rsid w:val="001B45C6"/>
    <w:rsid w:val="001C1608"/>
    <w:rsid w:val="001E63EE"/>
    <w:rsid w:val="001F1C47"/>
    <w:rsid w:val="001F1F74"/>
    <w:rsid w:val="001F3FCC"/>
    <w:rsid w:val="002116C0"/>
    <w:rsid w:val="002133D8"/>
    <w:rsid w:val="00220E83"/>
    <w:rsid w:val="002248B7"/>
    <w:rsid w:val="0023328D"/>
    <w:rsid w:val="00234A08"/>
    <w:rsid w:val="00244160"/>
    <w:rsid w:val="00250F8C"/>
    <w:rsid w:val="00254A12"/>
    <w:rsid w:val="00263F9E"/>
    <w:rsid w:val="00272C68"/>
    <w:rsid w:val="00280C0C"/>
    <w:rsid w:val="0029376A"/>
    <w:rsid w:val="002A22A6"/>
    <w:rsid w:val="002D3132"/>
    <w:rsid w:val="002E087F"/>
    <w:rsid w:val="00310592"/>
    <w:rsid w:val="003159F9"/>
    <w:rsid w:val="00342D4C"/>
    <w:rsid w:val="00354FD3"/>
    <w:rsid w:val="00366AC6"/>
    <w:rsid w:val="00366B28"/>
    <w:rsid w:val="003721B1"/>
    <w:rsid w:val="00373B83"/>
    <w:rsid w:val="003934FF"/>
    <w:rsid w:val="003A48C0"/>
    <w:rsid w:val="003A58E5"/>
    <w:rsid w:val="003A63B2"/>
    <w:rsid w:val="003A687A"/>
    <w:rsid w:val="003B6221"/>
    <w:rsid w:val="003C6255"/>
    <w:rsid w:val="003D04F9"/>
    <w:rsid w:val="003D1322"/>
    <w:rsid w:val="003D4DCB"/>
    <w:rsid w:val="003E72B8"/>
    <w:rsid w:val="003F0C68"/>
    <w:rsid w:val="003F508E"/>
    <w:rsid w:val="00422E90"/>
    <w:rsid w:val="004255D4"/>
    <w:rsid w:val="00435BE4"/>
    <w:rsid w:val="00441682"/>
    <w:rsid w:val="00444211"/>
    <w:rsid w:val="004512DC"/>
    <w:rsid w:val="0045182B"/>
    <w:rsid w:val="004552B8"/>
    <w:rsid w:val="004639C0"/>
    <w:rsid w:val="00464603"/>
    <w:rsid w:val="00465607"/>
    <w:rsid w:val="00474432"/>
    <w:rsid w:val="0047527A"/>
    <w:rsid w:val="004770CC"/>
    <w:rsid w:val="004941D6"/>
    <w:rsid w:val="004A49E4"/>
    <w:rsid w:val="004B459D"/>
    <w:rsid w:val="004C17C3"/>
    <w:rsid w:val="004F42FA"/>
    <w:rsid w:val="00504DB7"/>
    <w:rsid w:val="0051342B"/>
    <w:rsid w:val="00514245"/>
    <w:rsid w:val="0051514F"/>
    <w:rsid w:val="005242DB"/>
    <w:rsid w:val="00545589"/>
    <w:rsid w:val="00547D74"/>
    <w:rsid w:val="0055043E"/>
    <w:rsid w:val="00556EDA"/>
    <w:rsid w:val="005603A5"/>
    <w:rsid w:val="0056171B"/>
    <w:rsid w:val="005872EE"/>
    <w:rsid w:val="00593C5F"/>
    <w:rsid w:val="005A38E2"/>
    <w:rsid w:val="005B0303"/>
    <w:rsid w:val="005B2D47"/>
    <w:rsid w:val="005D103E"/>
    <w:rsid w:val="005D7019"/>
    <w:rsid w:val="005E7CF1"/>
    <w:rsid w:val="005F7969"/>
    <w:rsid w:val="005F7B0F"/>
    <w:rsid w:val="00621C7A"/>
    <w:rsid w:val="00622F4C"/>
    <w:rsid w:val="006278F0"/>
    <w:rsid w:val="0063106D"/>
    <w:rsid w:val="00633828"/>
    <w:rsid w:val="006539CA"/>
    <w:rsid w:val="00654A1E"/>
    <w:rsid w:val="00670988"/>
    <w:rsid w:val="00670B2F"/>
    <w:rsid w:val="00675F8B"/>
    <w:rsid w:val="00680842"/>
    <w:rsid w:val="00683F60"/>
    <w:rsid w:val="00685322"/>
    <w:rsid w:val="00692E77"/>
    <w:rsid w:val="006A4282"/>
    <w:rsid w:val="006A67E0"/>
    <w:rsid w:val="006B5392"/>
    <w:rsid w:val="006C1323"/>
    <w:rsid w:val="006D79F2"/>
    <w:rsid w:val="006E64E5"/>
    <w:rsid w:val="006F0243"/>
    <w:rsid w:val="006F15AD"/>
    <w:rsid w:val="006F2B4D"/>
    <w:rsid w:val="00702381"/>
    <w:rsid w:val="0070610B"/>
    <w:rsid w:val="0073164D"/>
    <w:rsid w:val="0073256A"/>
    <w:rsid w:val="00736E31"/>
    <w:rsid w:val="00765B5E"/>
    <w:rsid w:val="00770741"/>
    <w:rsid w:val="007857DB"/>
    <w:rsid w:val="007A30AE"/>
    <w:rsid w:val="007B5DCB"/>
    <w:rsid w:val="007B746A"/>
    <w:rsid w:val="007C2876"/>
    <w:rsid w:val="007C70A0"/>
    <w:rsid w:val="007D16EC"/>
    <w:rsid w:val="007D23CC"/>
    <w:rsid w:val="007E15E1"/>
    <w:rsid w:val="007E5EC7"/>
    <w:rsid w:val="007E716E"/>
    <w:rsid w:val="00803BAB"/>
    <w:rsid w:val="0080648A"/>
    <w:rsid w:val="00815473"/>
    <w:rsid w:val="00820055"/>
    <w:rsid w:val="008231B3"/>
    <w:rsid w:val="00823D93"/>
    <w:rsid w:val="00827D49"/>
    <w:rsid w:val="00830353"/>
    <w:rsid w:val="00831B3B"/>
    <w:rsid w:val="008471D3"/>
    <w:rsid w:val="00852D59"/>
    <w:rsid w:val="0085592D"/>
    <w:rsid w:val="008575B6"/>
    <w:rsid w:val="008625B2"/>
    <w:rsid w:val="00870D23"/>
    <w:rsid w:val="0087159C"/>
    <w:rsid w:val="00882D86"/>
    <w:rsid w:val="00890219"/>
    <w:rsid w:val="008948B0"/>
    <w:rsid w:val="008A3E0E"/>
    <w:rsid w:val="008F410D"/>
    <w:rsid w:val="00905982"/>
    <w:rsid w:val="00913A45"/>
    <w:rsid w:val="009262FE"/>
    <w:rsid w:val="00932098"/>
    <w:rsid w:val="009359CB"/>
    <w:rsid w:val="00952BD8"/>
    <w:rsid w:val="00954349"/>
    <w:rsid w:val="00970472"/>
    <w:rsid w:val="00973557"/>
    <w:rsid w:val="00975936"/>
    <w:rsid w:val="00980296"/>
    <w:rsid w:val="00987249"/>
    <w:rsid w:val="009A1CBE"/>
    <w:rsid w:val="009A5536"/>
    <w:rsid w:val="009A6028"/>
    <w:rsid w:val="009B5962"/>
    <w:rsid w:val="009C1FB1"/>
    <w:rsid w:val="009C439D"/>
    <w:rsid w:val="009D6137"/>
    <w:rsid w:val="009E388B"/>
    <w:rsid w:val="009E7B3F"/>
    <w:rsid w:val="009F0030"/>
    <w:rsid w:val="009F1171"/>
    <w:rsid w:val="009F1CDA"/>
    <w:rsid w:val="009F2EE0"/>
    <w:rsid w:val="009F75AD"/>
    <w:rsid w:val="00A175C4"/>
    <w:rsid w:val="00A42430"/>
    <w:rsid w:val="00A95FD3"/>
    <w:rsid w:val="00AB434B"/>
    <w:rsid w:val="00AD3A90"/>
    <w:rsid w:val="00AD682A"/>
    <w:rsid w:val="00AE3E61"/>
    <w:rsid w:val="00AF09C2"/>
    <w:rsid w:val="00AF4545"/>
    <w:rsid w:val="00B01161"/>
    <w:rsid w:val="00B120CC"/>
    <w:rsid w:val="00B140FA"/>
    <w:rsid w:val="00B238AE"/>
    <w:rsid w:val="00B2507B"/>
    <w:rsid w:val="00B25B65"/>
    <w:rsid w:val="00B35FDB"/>
    <w:rsid w:val="00B409E5"/>
    <w:rsid w:val="00B46550"/>
    <w:rsid w:val="00B62765"/>
    <w:rsid w:val="00B82CF0"/>
    <w:rsid w:val="00B83715"/>
    <w:rsid w:val="00B84F0C"/>
    <w:rsid w:val="00B875F2"/>
    <w:rsid w:val="00B97099"/>
    <w:rsid w:val="00BA5815"/>
    <w:rsid w:val="00BC285A"/>
    <w:rsid w:val="00BD2462"/>
    <w:rsid w:val="00BD7D5C"/>
    <w:rsid w:val="00BE45DE"/>
    <w:rsid w:val="00BE7FA0"/>
    <w:rsid w:val="00BF3DE3"/>
    <w:rsid w:val="00C017D7"/>
    <w:rsid w:val="00C03CFC"/>
    <w:rsid w:val="00C06179"/>
    <w:rsid w:val="00C12EFD"/>
    <w:rsid w:val="00C157B0"/>
    <w:rsid w:val="00C1650A"/>
    <w:rsid w:val="00C2312F"/>
    <w:rsid w:val="00C62C15"/>
    <w:rsid w:val="00C662F6"/>
    <w:rsid w:val="00C70629"/>
    <w:rsid w:val="00C73522"/>
    <w:rsid w:val="00C92ED5"/>
    <w:rsid w:val="00C944F2"/>
    <w:rsid w:val="00CA2958"/>
    <w:rsid w:val="00CA3086"/>
    <w:rsid w:val="00CA5B31"/>
    <w:rsid w:val="00CB64E5"/>
    <w:rsid w:val="00CC16D7"/>
    <w:rsid w:val="00CC490D"/>
    <w:rsid w:val="00CC5BE1"/>
    <w:rsid w:val="00CC691D"/>
    <w:rsid w:val="00CD2E2B"/>
    <w:rsid w:val="00CD30C6"/>
    <w:rsid w:val="00CD3E17"/>
    <w:rsid w:val="00CD70AB"/>
    <w:rsid w:val="00CF6199"/>
    <w:rsid w:val="00CF7839"/>
    <w:rsid w:val="00D02016"/>
    <w:rsid w:val="00D16A31"/>
    <w:rsid w:val="00D40C32"/>
    <w:rsid w:val="00D44ED7"/>
    <w:rsid w:val="00D5222D"/>
    <w:rsid w:val="00D676F0"/>
    <w:rsid w:val="00D713E3"/>
    <w:rsid w:val="00D71813"/>
    <w:rsid w:val="00D71DA1"/>
    <w:rsid w:val="00D940B2"/>
    <w:rsid w:val="00D94B56"/>
    <w:rsid w:val="00DB20E1"/>
    <w:rsid w:val="00DC295A"/>
    <w:rsid w:val="00DD5921"/>
    <w:rsid w:val="00DE72C5"/>
    <w:rsid w:val="00DF14AA"/>
    <w:rsid w:val="00E0017F"/>
    <w:rsid w:val="00E043F1"/>
    <w:rsid w:val="00E076EF"/>
    <w:rsid w:val="00E12A05"/>
    <w:rsid w:val="00E1781B"/>
    <w:rsid w:val="00E37549"/>
    <w:rsid w:val="00E42255"/>
    <w:rsid w:val="00E42EBC"/>
    <w:rsid w:val="00E5159A"/>
    <w:rsid w:val="00E54592"/>
    <w:rsid w:val="00E55E0A"/>
    <w:rsid w:val="00E62289"/>
    <w:rsid w:val="00E64B75"/>
    <w:rsid w:val="00E64D79"/>
    <w:rsid w:val="00E85D3A"/>
    <w:rsid w:val="00EA6368"/>
    <w:rsid w:val="00EC1EF5"/>
    <w:rsid w:val="00EE6ED7"/>
    <w:rsid w:val="00F2097F"/>
    <w:rsid w:val="00F370A5"/>
    <w:rsid w:val="00F43C96"/>
    <w:rsid w:val="00F45376"/>
    <w:rsid w:val="00F5058E"/>
    <w:rsid w:val="00F550C0"/>
    <w:rsid w:val="00F6218E"/>
    <w:rsid w:val="00F83EC1"/>
    <w:rsid w:val="00F95038"/>
    <w:rsid w:val="00FA5D5A"/>
    <w:rsid w:val="00FB49FE"/>
    <w:rsid w:val="00FC698C"/>
    <w:rsid w:val="00FD060C"/>
    <w:rsid w:val="00FE7DAA"/>
    <w:rsid w:val="00FF06C0"/>
    <w:rsid w:val="00FF5351"/>
    <w:rsid w:val="5EB310B9"/>
    <w:rsid w:val="5FF7001C"/>
    <w:rsid w:val="67BE0C11"/>
    <w:rsid w:val="7F93A5AD"/>
    <w:rsid w:val="BBDEAA55"/>
    <w:rsid w:val="CD852AC4"/>
    <w:rsid w:val="FFBEE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both"/>
      <w:textAlignment w:val="baseline"/>
    </w:pPr>
    <w:rPr>
      <w:rFonts w:ascii="Times New Roman" w:hAnsi="Times New Roman" w:eastAsia="仿宋_GB2312" w:cs="Times New Roman"/>
      <w:kern w:val="2"/>
      <w:sz w:val="32"/>
      <w:szCs w:val="24"/>
      <w:lang w:val="en-US" w:eastAsia="zh-CN" w:bidi="ar-SA"/>
    </w:rPr>
  </w:style>
  <w:style w:type="paragraph" w:styleId="2">
    <w:name w:val="heading 3"/>
    <w:basedOn w:val="1"/>
    <w:next w:val="1"/>
    <w:link w:val="27"/>
    <w:qFormat/>
    <w:uiPriority w:val="0"/>
    <w:pPr>
      <w:keepNext/>
      <w:keepLines/>
      <w:widowControl w:val="0"/>
      <w:adjustRightInd w:val="0"/>
      <w:spacing w:before="260" w:after="260" w:line="416" w:lineRule="auto"/>
      <w:textAlignment w:val="auto"/>
      <w:outlineLvl w:val="2"/>
    </w:pPr>
    <w:rPr>
      <w:rFonts w:ascii="Calibri" w:hAnsi="Calibri" w:eastAsia="宋体"/>
      <w:b/>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3"/>
    <w:unhideWhenUsed/>
    <w:qFormat/>
    <w:uiPriority w:val="99"/>
    <w:pPr>
      <w:jc w:val="left"/>
    </w:pPr>
  </w:style>
  <w:style w:type="paragraph" w:styleId="4">
    <w:name w:val="Balloon Text"/>
    <w:basedOn w:val="1"/>
    <w:link w:val="25"/>
    <w:semiHidden/>
    <w:unhideWhenUsed/>
    <w:qFormat/>
    <w:uiPriority w:val="99"/>
    <w:pPr>
      <w:spacing w:line="240" w:lineRule="auto"/>
    </w:pPr>
    <w:rPr>
      <w:sz w:val="18"/>
      <w:szCs w:val="18"/>
    </w:rPr>
  </w:style>
  <w:style w:type="paragraph" w:styleId="5">
    <w:name w:val="footer"/>
    <w:basedOn w:val="1"/>
    <w:link w:val="22"/>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100" w:beforeAutospacing="1" w:after="100" w:afterAutospacing="1" w:line="240" w:lineRule="auto"/>
      <w:jc w:val="left"/>
      <w:textAlignment w:val="auto"/>
    </w:pPr>
    <w:rPr>
      <w:rFonts w:ascii="宋体" w:hAnsi="宋体" w:eastAsia="宋体" w:cs="宋体"/>
      <w:kern w:val="0"/>
      <w:sz w:val="24"/>
    </w:rPr>
  </w:style>
  <w:style w:type="paragraph" w:styleId="8">
    <w:name w:val="annotation subject"/>
    <w:basedOn w:val="3"/>
    <w:next w:val="3"/>
    <w:link w:val="24"/>
    <w:semiHidden/>
    <w:unhideWhenUsed/>
    <w:qFormat/>
    <w:uiPriority w:val="99"/>
    <w:rPr>
      <w:b/>
      <w:bCs/>
    </w:rPr>
  </w:style>
  <w:style w:type="character" w:styleId="11">
    <w:name w:val="Emphasis"/>
    <w:qFormat/>
    <w:uiPriority w:val="0"/>
    <w:rPr>
      <w:i/>
    </w:rPr>
  </w:style>
  <w:style w:type="character" w:styleId="12">
    <w:name w:val="annotation reference"/>
    <w:semiHidden/>
    <w:unhideWhenUsed/>
    <w:qFormat/>
    <w:uiPriority w:val="99"/>
    <w:rPr>
      <w:sz w:val="21"/>
      <w:szCs w:val="21"/>
    </w:rPr>
  </w:style>
  <w:style w:type="character" w:customStyle="1" w:styleId="13">
    <w:name w:val="UserStyle_2"/>
    <w:qFormat/>
    <w:uiPriority w:val="0"/>
    <w:rPr>
      <w:rFonts w:ascii="宋体" w:hAnsi="Courier New"/>
      <w:kern w:val="2"/>
      <w:sz w:val="21"/>
      <w:szCs w:val="21"/>
    </w:rPr>
  </w:style>
  <w:style w:type="character" w:customStyle="1" w:styleId="14">
    <w:name w:val="UserStyle_0"/>
    <w:link w:val="15"/>
    <w:qFormat/>
    <w:uiPriority w:val="0"/>
    <w:rPr>
      <w:rFonts w:ascii="Calibri" w:hAnsi="Courier New"/>
      <w:szCs w:val="21"/>
    </w:rPr>
  </w:style>
  <w:style w:type="paragraph" w:customStyle="1" w:styleId="15">
    <w:name w:val="PlainText"/>
    <w:basedOn w:val="1"/>
    <w:link w:val="14"/>
    <w:qFormat/>
    <w:uiPriority w:val="0"/>
    <w:pPr>
      <w:jc w:val="left"/>
    </w:pPr>
    <w:rPr>
      <w:rFonts w:ascii="Calibri" w:hAnsi="Courier New" w:eastAsia="宋体"/>
      <w:kern w:val="0"/>
      <w:sz w:val="20"/>
      <w:szCs w:val="21"/>
      <w:lang w:val="zh-CN" w:eastAsia="zh-CN"/>
    </w:rPr>
  </w:style>
  <w:style w:type="character" w:customStyle="1" w:styleId="16">
    <w:name w:val="NormalCharacter"/>
    <w:semiHidden/>
    <w:uiPriority w:val="0"/>
  </w:style>
  <w:style w:type="character" w:customStyle="1" w:styleId="17">
    <w:name w:val="UserStyle_1"/>
    <w:link w:val="18"/>
    <w:qFormat/>
    <w:uiPriority w:val="0"/>
    <w:rPr>
      <w:rFonts w:eastAsia="仿宋_GB2312"/>
      <w:kern w:val="2"/>
      <w:sz w:val="18"/>
      <w:szCs w:val="18"/>
    </w:rPr>
  </w:style>
  <w:style w:type="paragraph" w:customStyle="1" w:styleId="18">
    <w:name w:val="Acetate"/>
    <w:basedOn w:val="1"/>
    <w:link w:val="17"/>
    <w:qFormat/>
    <w:uiPriority w:val="0"/>
    <w:pPr>
      <w:spacing w:line="240" w:lineRule="auto"/>
    </w:pPr>
    <w:rPr>
      <w:sz w:val="18"/>
      <w:szCs w:val="18"/>
      <w:lang w:val="zh-CN" w:eastAsia="zh-CN"/>
    </w:rPr>
  </w:style>
  <w:style w:type="paragraph" w:customStyle="1" w:styleId="19">
    <w:name w:val="179"/>
    <w:basedOn w:val="1"/>
    <w:qFormat/>
    <w:uiPriority w:val="0"/>
    <w:pPr>
      <w:ind w:firstLine="420" w:firstLineChars="200"/>
    </w:pPr>
  </w:style>
  <w:style w:type="paragraph" w:customStyle="1" w:styleId="20">
    <w:name w:val="UserStyle_3"/>
    <w:basedOn w:val="1"/>
    <w:next w:val="19"/>
    <w:qFormat/>
    <w:uiPriority w:val="0"/>
    <w:pPr>
      <w:ind w:firstLine="420" w:firstLineChars="200"/>
    </w:pPr>
    <w:rPr>
      <w:rFonts w:ascii="Calibri" w:hAnsi="Calibri"/>
      <w:szCs w:val="22"/>
    </w:rPr>
  </w:style>
  <w:style w:type="table" w:customStyle="1" w:styleId="21">
    <w:name w:val="TableNormal"/>
    <w:semiHidden/>
    <w:qFormat/>
    <w:uiPriority w:val="0"/>
    <w:tblPr>
      <w:tblCellMar>
        <w:top w:w="0" w:type="dxa"/>
        <w:left w:w="0" w:type="dxa"/>
        <w:bottom w:w="0" w:type="dxa"/>
        <w:right w:w="0" w:type="dxa"/>
      </w:tblCellMar>
    </w:tblPr>
  </w:style>
  <w:style w:type="character" w:customStyle="1" w:styleId="22">
    <w:name w:val="页脚 字符"/>
    <w:link w:val="5"/>
    <w:qFormat/>
    <w:uiPriority w:val="99"/>
    <w:rPr>
      <w:rFonts w:eastAsia="仿宋_GB2312"/>
      <w:kern w:val="2"/>
      <w:sz w:val="18"/>
      <w:szCs w:val="18"/>
    </w:rPr>
  </w:style>
  <w:style w:type="character" w:customStyle="1" w:styleId="23">
    <w:name w:val="批注文字 字符"/>
    <w:link w:val="3"/>
    <w:semiHidden/>
    <w:qFormat/>
    <w:uiPriority w:val="99"/>
    <w:rPr>
      <w:rFonts w:eastAsia="仿宋_GB2312"/>
      <w:kern w:val="2"/>
      <w:sz w:val="32"/>
      <w:szCs w:val="24"/>
    </w:rPr>
  </w:style>
  <w:style w:type="character" w:customStyle="1" w:styleId="24">
    <w:name w:val="批注主题 字符"/>
    <w:link w:val="8"/>
    <w:semiHidden/>
    <w:qFormat/>
    <w:uiPriority w:val="99"/>
    <w:rPr>
      <w:rFonts w:eastAsia="仿宋_GB2312"/>
      <w:b/>
      <w:bCs/>
      <w:kern w:val="2"/>
      <w:sz w:val="32"/>
      <w:szCs w:val="24"/>
    </w:rPr>
  </w:style>
  <w:style w:type="character" w:customStyle="1" w:styleId="25">
    <w:name w:val="批注框文本 字符"/>
    <w:link w:val="4"/>
    <w:semiHidden/>
    <w:qFormat/>
    <w:uiPriority w:val="99"/>
    <w:rPr>
      <w:rFonts w:eastAsia="仿宋_GB2312"/>
      <w:kern w:val="2"/>
      <w:sz w:val="18"/>
      <w:szCs w:val="18"/>
    </w:rPr>
  </w:style>
  <w:style w:type="paragraph" w:customStyle="1" w:styleId="26">
    <w:name w:val="Revision"/>
    <w:hidden/>
    <w:unhideWhenUsed/>
    <w:qFormat/>
    <w:uiPriority w:val="99"/>
    <w:rPr>
      <w:rFonts w:ascii="Times New Roman" w:hAnsi="Times New Roman" w:eastAsia="仿宋_GB2312" w:cs="Times New Roman"/>
      <w:kern w:val="2"/>
      <w:sz w:val="32"/>
      <w:szCs w:val="24"/>
      <w:lang w:val="en-US" w:eastAsia="zh-CN" w:bidi="ar-SA"/>
    </w:rPr>
  </w:style>
  <w:style w:type="character" w:customStyle="1" w:styleId="27">
    <w:name w:val="标题 3 字符"/>
    <w:link w:val="2"/>
    <w:qFormat/>
    <w:uiPriority w:val="0"/>
    <w:rPr>
      <w:rFonts w:ascii="Calibri" w:hAnsi="Calibri"/>
      <w:b/>
      <w:bCs/>
      <w:kern w:val="2"/>
      <w:sz w:val="32"/>
      <w:szCs w:val="32"/>
    </w:rPr>
  </w:style>
  <w:style w:type="paragraph" w:customStyle="1" w:styleId="28">
    <w:name w:val="Table Paragraph"/>
    <w:basedOn w:val="1"/>
    <w:qFormat/>
    <w:uiPriority w:val="1"/>
    <w:pPr>
      <w:widowControl w:val="0"/>
      <w:autoSpaceDE w:val="0"/>
      <w:autoSpaceDN w:val="0"/>
      <w:spacing w:line="240" w:lineRule="auto"/>
      <w:jc w:val="left"/>
      <w:textAlignment w:val="auto"/>
    </w:pPr>
    <w:rPr>
      <w:rFonts w:ascii="宋体" w:hAnsi="宋体" w:eastAsia="宋体" w:cs="宋体"/>
      <w:kern w:val="0"/>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507</Words>
  <Characters>2891</Characters>
  <Lines>24</Lines>
  <Paragraphs>6</Paragraphs>
  <TotalTime>23</TotalTime>
  <ScaleCrop>false</ScaleCrop>
  <LinksUpToDate>false</LinksUpToDate>
  <CharactersWithSpaces>3392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2024-01-23T13:45:00Z</dcterms:created>
  <dc:creator>Shen Y</dc:creator>
  <cp:lastModifiedBy>朱雪峰</cp:lastModifiedBy>
  <dcterms:modified xsi:type="dcterms:W3CDTF">2024-03-26T08:13:00Z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