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left"/>
        <w:rPr>
          <w:rFonts w:ascii="仿宋_GB2312" w:hAnsi="仿宋" w:eastAsia="仿宋_GB2312"/>
          <w:b/>
          <w:sz w:val="30"/>
          <w:szCs w:val="30"/>
        </w:rPr>
      </w:pPr>
      <w:bookmarkStart w:id="0" w:name="_Hlk100604951"/>
      <w:r>
        <w:rPr>
          <w:rFonts w:ascii="仿宋" w:hAnsi="仿宋" w:eastAsia="仿宋"/>
        </w:rPr>
        <w:fldChar w:fldCharType="begin"/>
      </w:r>
      <w:r>
        <w:rPr>
          <w:rFonts w:ascii="仿宋" w:hAnsi="仿宋" w:eastAsia="仿宋"/>
        </w:rPr>
        <w:instrText xml:space="preserve"> INCLUDEPICTURE "G:\\法定自查咨询通告1025\\新建文件夹\\wangcui\\AppData\\Local\\Microsoft\\Windows\\Temporary Internet Files\\Content.IE5\\Microsoft\\Windows\\Temporary Internet Files\\Microsoft\\Windows\\Temporary Internet Files\\Microsoft\\Windows\\Temporary Internet Files\\Microsoft\\Temporary Internet Files\\Content.IE5\\SDBTRDUM\\Documents and Settings\\329\\CCAR21R3\\适航文件\\中国民用航空规章2\\ccar-21-r2\\hb.gif" \* MERGEFORMAT </w:instrText>
      </w:r>
      <w:r>
        <w:rPr>
          <w:rFonts w:ascii="仿宋" w:hAnsi="仿宋" w:eastAsia="仿宋"/>
        </w:rPr>
        <w:fldChar w:fldCharType="separate"/>
      </w:r>
      <w:r>
        <w:rPr>
          <w:rFonts w:ascii="仿宋" w:hAnsi="仿宋" w:eastAsia="仿宋"/>
        </w:rPr>
        <w:drawing>
          <wp:inline distT="0" distB="0" distL="0" distR="0">
            <wp:extent cx="2057400" cy="694690"/>
            <wp:effectExtent l="0" t="0" r="0" b="381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9" cstate="print"/>
                    <a:srcRect/>
                    <a:stretch>
                      <a:fillRect/>
                    </a:stretch>
                  </pic:blipFill>
                  <pic:spPr>
                    <a:xfrm>
                      <a:off x="0" y="0"/>
                      <a:ext cx="2057400" cy="694690"/>
                    </a:xfrm>
                    <a:prstGeom prst="rect">
                      <a:avLst/>
                    </a:prstGeom>
                    <a:ln>
                      <a:noFill/>
                    </a:ln>
                  </pic:spPr>
                </pic:pic>
              </a:graphicData>
            </a:graphic>
          </wp:inline>
        </w:drawing>
      </w:r>
      <w:r>
        <w:rPr>
          <w:rFonts w:ascii="仿宋" w:hAnsi="仿宋" w:eastAsia="仿宋"/>
        </w:rPr>
        <w:fldChar w:fldCharType="end"/>
      </w:r>
      <w:r>
        <w:rPr>
          <w:rFonts w:ascii="仿宋" w:hAnsi="仿宋" w:eastAsia="仿宋"/>
        </w:rPr>
        <w:t xml:space="preserve">               </w:t>
      </w:r>
      <w:r>
        <w:rPr>
          <w:rFonts w:hint="eastAsia" w:ascii="仿宋" w:hAnsi="仿宋" w:eastAsia="仿宋"/>
        </w:rPr>
        <w:t>　　</w:t>
      </w:r>
      <w:r>
        <w:rPr>
          <w:rFonts w:hint="eastAsia" w:ascii="仿宋_GB2312" w:hAnsi="仿宋" w:eastAsia="仿宋_GB2312"/>
          <w:b/>
          <w:sz w:val="52"/>
          <w:szCs w:val="52"/>
        </w:rPr>
        <w:t>咨询通告</w:t>
      </w:r>
    </w:p>
    <w:p>
      <w:pPr>
        <w:widowControl/>
        <w:spacing w:before="100" w:beforeAutospacing="1" w:after="100" w:afterAutospacing="1" w:line="360" w:lineRule="atLeast"/>
        <w:jc w:val="left"/>
        <w:rPr>
          <w:rFonts w:ascii="仿宋_GB2312" w:hAnsi="仿宋" w:eastAsia="仿宋_GB2312"/>
          <w:sz w:val="24"/>
        </w:rPr>
      </w:pPr>
    </w:p>
    <w:p>
      <w:pPr>
        <w:widowControl/>
        <w:spacing w:before="100" w:beforeAutospacing="1" w:after="100" w:afterAutospacing="1" w:line="360" w:lineRule="atLeast"/>
        <w:jc w:val="left"/>
        <w:rPr>
          <w:rFonts w:ascii="仿宋_GB2312" w:hAnsi="仿宋" w:eastAsia="仿宋_GB2312"/>
          <w:b/>
          <w:sz w:val="32"/>
          <w:szCs w:val="32"/>
        </w:rPr>
      </w:pPr>
      <w:r>
        <w:rPr>
          <w:rFonts w:hint="eastAsia" w:ascii="仿宋_GB2312" w:hAnsi="仿宋" w:eastAsia="仿宋_GB2312"/>
          <w:b/>
          <w:sz w:val="32"/>
          <w:szCs w:val="32"/>
        </w:rPr>
        <w:t>中国民用航空局</w:t>
      </w:r>
    </w:p>
    <w:p>
      <w:pPr>
        <w:widowControl/>
        <w:spacing w:before="100" w:beforeAutospacing="1" w:after="100" w:afterAutospacing="1" w:line="360" w:lineRule="atLeast"/>
        <w:jc w:val="left"/>
        <w:rPr>
          <w:rFonts w:ascii="仿宋_GB2312" w:hAnsi="仿宋" w:eastAsia="仿宋_GB2312"/>
        </w:rPr>
      </w:pPr>
      <w:r>
        <w:rPr>
          <w:rFonts w:hint="eastAsia" w:ascii="仿宋_GB2312" w:hAnsi="仿宋" w:eastAsia="仿宋_GB2312"/>
          <w:u w:val="single"/>
        </w:rPr>
        <w:t xml:space="preserve">                                                                               </w:t>
      </w:r>
    </w:p>
    <w:p>
      <w:pPr>
        <w:widowControl/>
        <w:spacing w:line="0" w:lineRule="atLeast"/>
        <w:jc w:val="left"/>
        <w:rPr>
          <w:rFonts w:ascii="仿宋_GB2312" w:hAnsi="仿宋" w:eastAsia="仿宋_GB2312"/>
          <w:sz w:val="28"/>
          <w:szCs w:val="28"/>
        </w:rPr>
      </w:pPr>
      <w:r>
        <w:rPr>
          <w:rFonts w:hint="eastAsia" w:ascii="仿宋_GB2312" w:hAnsi="仿宋" w:eastAsia="仿宋_GB2312"/>
          <w:sz w:val="28"/>
          <w:szCs w:val="28"/>
        </w:rPr>
        <w:t xml:space="preserve">                          文    号：民航规</w:t>
      </w:r>
      <w:r>
        <w:rPr>
          <w:rFonts w:hint="eastAsia" w:ascii="微软雅黑" w:hAnsi="微软雅黑" w:eastAsia="微软雅黑"/>
          <w:sz w:val="28"/>
          <w:szCs w:val="28"/>
        </w:rPr>
        <w:t>〔</w:t>
      </w:r>
      <w:r>
        <w:rPr>
          <w:rFonts w:hint="eastAsia" w:ascii="仿宋_GB2312" w:hAnsi="仿宋" w:eastAsia="仿宋_GB2312"/>
          <w:sz w:val="28"/>
          <w:szCs w:val="28"/>
        </w:rPr>
        <w:t>2022</w:t>
      </w:r>
      <w:r>
        <w:rPr>
          <w:rFonts w:hint="eastAsia" w:ascii="微软雅黑" w:hAnsi="微软雅黑" w:eastAsia="微软雅黑"/>
          <w:sz w:val="28"/>
          <w:szCs w:val="28"/>
        </w:rPr>
        <w:t>〕</w:t>
      </w:r>
      <w:r>
        <w:rPr>
          <w:rFonts w:hint="eastAsia" w:ascii="仿宋_GB2312" w:hAnsi="仿宋" w:eastAsia="仿宋_GB2312"/>
          <w:sz w:val="28"/>
          <w:szCs w:val="28"/>
        </w:rPr>
        <w:t>XX号</w:t>
      </w:r>
    </w:p>
    <w:p>
      <w:pPr>
        <w:widowControl/>
        <w:spacing w:line="0" w:lineRule="atLeast"/>
        <w:ind w:firstLine="3640" w:firstLineChars="1300"/>
        <w:jc w:val="left"/>
        <w:rPr>
          <w:rFonts w:ascii="仿宋_GB2312" w:hAnsi="仿宋" w:eastAsia="仿宋_GB2312"/>
          <w:sz w:val="28"/>
          <w:szCs w:val="28"/>
        </w:rPr>
      </w:pPr>
    </w:p>
    <w:p>
      <w:pPr>
        <w:widowControl/>
        <w:spacing w:line="0" w:lineRule="atLeast"/>
        <w:ind w:firstLine="3640" w:firstLineChars="1300"/>
        <w:jc w:val="left"/>
        <w:rPr>
          <w:rFonts w:ascii="仿宋_GB2312" w:hAnsi="仿宋" w:eastAsia="仿宋_GB2312"/>
          <w:kern w:val="0"/>
          <w:sz w:val="28"/>
          <w:szCs w:val="28"/>
        </w:rPr>
      </w:pPr>
      <w:r>
        <w:rPr>
          <w:rFonts w:hint="eastAsia" w:ascii="仿宋_GB2312" w:hAnsi="仿宋" w:eastAsia="仿宋_GB2312"/>
          <w:sz w:val="28"/>
          <w:szCs w:val="28"/>
        </w:rPr>
        <w:t>编    号：AC-398-x</w:t>
      </w:r>
    </w:p>
    <w:p>
      <w:pPr>
        <w:widowControl/>
        <w:spacing w:before="100" w:beforeAutospacing="1" w:after="100" w:afterAutospacing="1" w:line="360" w:lineRule="atLeast"/>
        <w:jc w:val="left"/>
        <w:rPr>
          <w:rFonts w:ascii="仿宋_GB2312" w:hAnsi="仿宋" w:eastAsia="仿宋_GB2312"/>
          <w:sz w:val="28"/>
          <w:szCs w:val="28"/>
        </w:rPr>
      </w:pPr>
      <w:r>
        <w:rPr>
          <w:rFonts w:hint="eastAsia" w:ascii="仿宋_GB2312" w:hAnsi="仿宋" w:eastAsia="仿宋_GB2312"/>
          <w:kern w:val="0"/>
          <w:sz w:val="28"/>
          <w:szCs w:val="28"/>
        </w:rPr>
        <w:t xml:space="preserve">                          </w:t>
      </w:r>
      <w:r>
        <w:rPr>
          <w:rFonts w:hint="eastAsia" w:ascii="仿宋_GB2312" w:hAnsi="仿宋" w:eastAsia="仿宋_GB2312"/>
          <w:sz w:val="28"/>
          <w:szCs w:val="28"/>
        </w:rPr>
        <w:t>下发日期：20</w:t>
      </w:r>
      <w:r>
        <w:rPr>
          <w:rFonts w:ascii="仿宋_GB2312" w:hAnsi="仿宋" w:eastAsia="仿宋_GB2312"/>
          <w:sz w:val="28"/>
          <w:szCs w:val="28"/>
        </w:rPr>
        <w:t>2</w:t>
      </w:r>
      <w:r>
        <w:rPr>
          <w:rFonts w:hint="eastAsia" w:ascii="仿宋_GB2312" w:hAnsi="仿宋" w:eastAsia="仿宋_GB2312"/>
          <w:sz w:val="28"/>
          <w:szCs w:val="28"/>
        </w:rPr>
        <w:t>2年x月x</w:t>
      </w:r>
      <w:r>
        <w:rPr>
          <w:rFonts w:ascii="仿宋_GB2312" w:hAnsi="仿宋" w:eastAsia="仿宋_GB2312"/>
          <w:sz w:val="28"/>
          <w:szCs w:val="28"/>
        </w:rPr>
        <w:t xml:space="preserve"> </w:t>
      </w:r>
      <w:r>
        <w:rPr>
          <w:rFonts w:hint="eastAsia" w:ascii="仿宋_GB2312" w:hAnsi="仿宋" w:eastAsia="仿宋_GB2312"/>
          <w:sz w:val="28"/>
          <w:szCs w:val="28"/>
        </w:rPr>
        <w:t>日</w:t>
      </w:r>
    </w:p>
    <w:p>
      <w:pPr>
        <w:widowControl/>
        <w:spacing w:before="100" w:beforeAutospacing="1" w:after="100" w:afterAutospacing="1" w:line="360" w:lineRule="atLeast"/>
        <w:jc w:val="left"/>
        <w:rPr>
          <w:rFonts w:ascii="仿宋" w:hAnsi="仿宋" w:eastAsia="仿宋"/>
          <w:sz w:val="28"/>
          <w:szCs w:val="28"/>
        </w:rPr>
      </w:pPr>
    </w:p>
    <w:p>
      <w:pPr>
        <w:widowControl/>
        <w:spacing w:before="100" w:beforeAutospacing="1" w:after="100" w:afterAutospacing="1" w:line="360" w:lineRule="atLeast"/>
        <w:jc w:val="left"/>
        <w:rPr>
          <w:rFonts w:ascii="仿宋" w:hAnsi="仿宋" w:eastAsia="仿宋"/>
          <w:kern w:val="0"/>
          <w:szCs w:val="21"/>
        </w:rPr>
      </w:pPr>
    </w:p>
    <w:p>
      <w:pPr>
        <w:adjustRightInd w:val="0"/>
        <w:snapToGrid w:val="0"/>
        <w:spacing w:line="36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民航安全风险分级管控和隐患排查治理</w:t>
      </w:r>
    </w:p>
    <w:p>
      <w:pPr>
        <w:adjustRightInd w:val="0"/>
        <w:snapToGrid w:val="0"/>
        <w:spacing w:line="36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双重预防工作机制管理规定</w:t>
      </w:r>
    </w:p>
    <w:p>
      <w:pPr>
        <w:pStyle w:val="12"/>
        <w:adjustRightInd w:val="0"/>
        <w:snapToGrid w:val="0"/>
        <w:spacing w:before="0" w:after="0" w:line="360" w:lineRule="auto"/>
        <w:rPr>
          <w:rFonts w:ascii="方正小标宋简体" w:hAnsi="方正小标宋简体" w:eastAsia="方正小标宋简体" w:cs="方正小标宋简体"/>
        </w:rPr>
        <w:sectPr>
          <w:footerReference r:id="rId3" w:type="default"/>
          <w:pgSz w:w="11906" w:h="16838"/>
          <w:pgMar w:top="1440" w:right="1800" w:bottom="1440" w:left="1800" w:header="851" w:footer="992" w:gutter="0"/>
          <w:cols w:space="425" w:num="1"/>
          <w:docGrid w:type="lines" w:linePitch="312" w:charSpace="0"/>
        </w:sectPr>
      </w:pPr>
    </w:p>
    <w:bookmarkEnd w:id="0"/>
    <w:p>
      <w:pPr>
        <w:pStyle w:val="12"/>
        <w:rPr>
          <w:rFonts w:ascii="黑体" w:hAnsi="黑体" w:eastAsia="黑体"/>
          <w:sz w:val="36"/>
          <w:szCs w:val="36"/>
        </w:rPr>
      </w:pPr>
      <w:bookmarkStart w:id="1" w:name="_Toc102658338"/>
      <w:bookmarkStart w:id="2" w:name="_Toc102411860"/>
      <w:bookmarkStart w:id="3" w:name="_Toc102508959"/>
      <w:bookmarkStart w:id="4" w:name="_Toc103864336"/>
      <w:bookmarkStart w:id="5" w:name="_Toc102411605"/>
      <w:bookmarkStart w:id="6" w:name="_Toc103864069"/>
      <w:bookmarkStart w:id="7" w:name="_Toc102507658"/>
      <w:bookmarkStart w:id="8" w:name="_Toc102411519"/>
      <w:bookmarkStart w:id="9" w:name="_Toc103799175"/>
      <w:bookmarkStart w:id="10" w:name="_Toc103805586"/>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bookmarkEnd w:id="1"/>
      <w:bookmarkEnd w:id="2"/>
      <w:bookmarkEnd w:id="3"/>
      <w:bookmarkEnd w:id="4"/>
      <w:bookmarkEnd w:id="5"/>
      <w:bookmarkEnd w:id="6"/>
      <w:bookmarkEnd w:id="7"/>
      <w:bookmarkEnd w:id="8"/>
      <w:bookmarkEnd w:id="9"/>
      <w:bookmarkEnd w:id="10"/>
    </w:p>
    <w:p>
      <w:pPr>
        <w:pStyle w:val="12"/>
        <w:rPr>
          <w:rFonts w:ascii="Calibri" w:hAnsi="Calibri" w:eastAsia="宋体" w:cs="宋体"/>
          <w:b w:val="0"/>
          <w:bCs w:val="0"/>
          <w:caps w:val="0"/>
          <w:sz w:val="21"/>
          <w:szCs w:val="22"/>
        </w:rPr>
      </w:pPr>
      <w:r>
        <w:rPr>
          <w:b w:val="0"/>
          <w:bCs w:val="0"/>
          <w:sz w:val="24"/>
          <w:szCs w:val="24"/>
        </w:rPr>
        <w:fldChar w:fldCharType="begin"/>
      </w:r>
      <w:r>
        <w:rPr>
          <w:b w:val="0"/>
          <w:bCs w:val="0"/>
          <w:sz w:val="24"/>
          <w:szCs w:val="24"/>
        </w:rPr>
        <w:instrText xml:space="preserve"> </w:instrText>
      </w:r>
      <w:r>
        <w:rPr>
          <w:rFonts w:hint="eastAsia"/>
          <w:b w:val="0"/>
          <w:bCs w:val="0"/>
          <w:sz w:val="24"/>
          <w:szCs w:val="24"/>
        </w:rPr>
        <w:instrText xml:space="preserve">TOC \o "1-3" \h \z \u</w:instrText>
      </w:r>
      <w:r>
        <w:rPr>
          <w:b w:val="0"/>
          <w:bCs w:val="0"/>
          <w:sz w:val="24"/>
          <w:szCs w:val="24"/>
        </w:rPr>
        <w:instrText xml:space="preserve"> </w:instrText>
      </w:r>
      <w:r>
        <w:rPr>
          <w:b w:val="0"/>
          <w:bCs w:val="0"/>
          <w:sz w:val="24"/>
          <w:szCs w:val="24"/>
        </w:rPr>
        <w:fldChar w:fldCharType="separate"/>
      </w:r>
      <w:r>
        <w:rPr>
          <w:rStyle w:val="23"/>
        </w:rPr>
        <w:fldChar w:fldCharType="begin"/>
      </w:r>
      <w:r>
        <w:rPr>
          <w:rStyle w:val="23"/>
        </w:rPr>
        <w:instrText xml:space="preserve"> </w:instrText>
      </w:r>
      <w:r>
        <w:instrText xml:space="preserve">HYPERLINK \l "_Toc109054402"</w:instrText>
      </w:r>
      <w:r>
        <w:rPr>
          <w:rStyle w:val="23"/>
        </w:rPr>
        <w:instrText xml:space="preserve"> </w:instrText>
      </w:r>
      <w:r>
        <w:rPr>
          <w:rStyle w:val="23"/>
        </w:rPr>
        <w:fldChar w:fldCharType="separate"/>
      </w:r>
      <w:r>
        <w:rPr>
          <w:rStyle w:val="23"/>
          <w:rFonts w:ascii="黑体" w:hAnsi="黑体" w:eastAsia="黑体"/>
        </w:rPr>
        <w:t>1.目的</w:t>
      </w:r>
      <w:r>
        <w:tab/>
      </w:r>
      <w:r>
        <w:fldChar w:fldCharType="begin"/>
      </w:r>
      <w:r>
        <w:instrText xml:space="preserve"> PAGEREF _Toc109054402 \h </w:instrText>
      </w:r>
      <w:r>
        <w:fldChar w:fldCharType="separate"/>
      </w:r>
      <w:r>
        <w:t>- 1 -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"_Toc109054403"</w:instrText>
      </w:r>
      <w:r>
        <w:rPr>
          <w:rStyle w:val="23"/>
        </w:rPr>
        <w:instrText xml:space="preserve"> </w:instrText>
      </w:r>
      <w:r>
        <w:rPr>
          <w:rStyle w:val="23"/>
        </w:rPr>
        <w:fldChar w:fldCharType="separate"/>
      </w:r>
      <w:r>
        <w:rPr>
          <w:rStyle w:val="23"/>
          <w:rFonts w:ascii="黑体" w:hAnsi="黑体" w:eastAsia="黑体"/>
        </w:rPr>
        <w:t>2.适用范围</w:t>
      </w:r>
      <w:r>
        <w:tab/>
      </w:r>
      <w:r>
        <w:fldChar w:fldCharType="begin"/>
      </w:r>
      <w:r>
        <w:instrText xml:space="preserve"> PAGEREF _Toc109054403 \h </w:instrText>
      </w:r>
      <w:r>
        <w:fldChar w:fldCharType="separate"/>
      </w:r>
      <w:r>
        <w:t>- 1 -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"_Toc109054404"</w:instrText>
      </w:r>
      <w:r>
        <w:rPr>
          <w:rStyle w:val="23"/>
        </w:rPr>
        <w:instrText xml:space="preserve"> </w:instrText>
      </w:r>
      <w:r>
        <w:rPr>
          <w:rStyle w:val="23"/>
        </w:rPr>
        <w:fldChar w:fldCharType="separate"/>
      </w:r>
      <w:r>
        <w:rPr>
          <w:rStyle w:val="23"/>
          <w:rFonts w:ascii="黑体" w:hAnsi="黑体" w:eastAsia="黑体"/>
        </w:rPr>
        <w:t>3.定义</w:t>
      </w:r>
      <w:r>
        <w:tab/>
      </w:r>
      <w:r>
        <w:fldChar w:fldCharType="begin"/>
      </w:r>
      <w:r>
        <w:instrText xml:space="preserve"> PAGEREF _Toc109054404 \h </w:instrText>
      </w:r>
      <w:r>
        <w:fldChar w:fldCharType="separate"/>
      </w:r>
      <w:r>
        <w:t>- 1 -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"_Toc109054405"</w:instrText>
      </w:r>
      <w:r>
        <w:rPr>
          <w:rStyle w:val="23"/>
        </w:rPr>
        <w:instrText xml:space="preserve"> </w:instrText>
      </w:r>
      <w:r>
        <w:rPr>
          <w:rStyle w:val="23"/>
        </w:rPr>
        <w:fldChar w:fldCharType="separate"/>
      </w:r>
      <w:r>
        <w:rPr>
          <w:rStyle w:val="23"/>
          <w:rFonts w:ascii="黑体" w:hAnsi="黑体" w:eastAsia="黑体"/>
        </w:rPr>
        <w:t>4.参考资料</w:t>
      </w:r>
      <w:r>
        <w:tab/>
      </w:r>
      <w:r>
        <w:fldChar w:fldCharType="begin"/>
      </w:r>
      <w:r>
        <w:instrText xml:space="preserve"> PAGEREF _Toc109054405 \h </w:instrText>
      </w:r>
      <w:r>
        <w:fldChar w:fldCharType="separate"/>
      </w:r>
      <w:r>
        <w:t>- 5 -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"_Toc109054406"</w:instrText>
      </w:r>
      <w:r>
        <w:rPr>
          <w:rStyle w:val="23"/>
        </w:rPr>
        <w:instrText xml:space="preserve"> </w:instrText>
      </w:r>
      <w:r>
        <w:rPr>
          <w:rStyle w:val="23"/>
        </w:rPr>
        <w:fldChar w:fldCharType="separate"/>
      </w:r>
      <w:r>
        <w:rPr>
          <w:rStyle w:val="23"/>
          <w:rFonts w:ascii="黑体" w:hAnsi="黑体" w:eastAsia="黑体"/>
        </w:rPr>
        <w:t>5.一般要求</w:t>
      </w:r>
      <w:r>
        <w:tab/>
      </w:r>
      <w:r>
        <w:fldChar w:fldCharType="begin"/>
      </w:r>
      <w:r>
        <w:instrText xml:space="preserve"> PAGEREF _Toc109054406 \h </w:instrText>
      </w:r>
      <w:r>
        <w:fldChar w:fldCharType="separate"/>
      </w:r>
      <w:r>
        <w:t>- 6 -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"_Toc109054407"</w:instrText>
      </w:r>
      <w:r>
        <w:rPr>
          <w:rStyle w:val="23"/>
        </w:rPr>
        <w:instrText xml:space="preserve"> </w:instrText>
      </w:r>
      <w:r>
        <w:rPr>
          <w:rStyle w:val="23"/>
        </w:rPr>
        <w:fldChar w:fldCharType="separate"/>
      </w:r>
      <w:r>
        <w:rPr>
          <w:rStyle w:val="23"/>
          <w:b/>
          <w:bCs/>
        </w:rPr>
        <w:t>5.1 工作原则</w:t>
      </w:r>
      <w:r>
        <w:tab/>
      </w:r>
      <w:r>
        <w:fldChar w:fldCharType="begin"/>
      </w:r>
      <w:r>
        <w:instrText xml:space="preserve"> PAGEREF _Toc109054407 \h </w:instrText>
      </w:r>
      <w:r>
        <w:fldChar w:fldCharType="separate"/>
      </w:r>
      <w:r>
        <w:t>- 6 -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"_Toc109054408"</w:instrText>
      </w:r>
      <w:r>
        <w:rPr>
          <w:rStyle w:val="23"/>
        </w:rPr>
        <w:instrText xml:space="preserve"> </w:instrText>
      </w:r>
      <w:r>
        <w:rPr>
          <w:rStyle w:val="23"/>
        </w:rPr>
        <w:fldChar w:fldCharType="separate"/>
      </w:r>
      <w:r>
        <w:rPr>
          <w:rStyle w:val="23"/>
          <w:b/>
          <w:bCs/>
        </w:rPr>
        <w:t>5.2 责任主体</w:t>
      </w:r>
      <w:r>
        <w:tab/>
      </w:r>
      <w:r>
        <w:fldChar w:fldCharType="begin"/>
      </w:r>
      <w:r>
        <w:instrText xml:space="preserve"> PAGEREF _Toc109054408 \h </w:instrText>
      </w:r>
      <w:r>
        <w:fldChar w:fldCharType="separate"/>
      </w:r>
      <w:r>
        <w:t>- 7 -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"_Toc109054409"</w:instrText>
      </w:r>
      <w:r>
        <w:rPr>
          <w:rStyle w:val="23"/>
        </w:rPr>
        <w:instrText xml:space="preserve"> </w:instrText>
      </w:r>
      <w:r>
        <w:rPr>
          <w:rStyle w:val="23"/>
        </w:rPr>
        <w:fldChar w:fldCharType="separate"/>
      </w:r>
      <w:r>
        <w:rPr>
          <w:rStyle w:val="23"/>
          <w:b/>
          <w:bCs/>
        </w:rPr>
        <w:t>5.3 监管主体</w:t>
      </w:r>
      <w:r>
        <w:tab/>
      </w:r>
      <w:r>
        <w:fldChar w:fldCharType="begin"/>
      </w:r>
      <w:r>
        <w:instrText xml:space="preserve"> PAGEREF _Toc109054409 \h </w:instrText>
      </w:r>
      <w:r>
        <w:fldChar w:fldCharType="separate"/>
      </w:r>
      <w:r>
        <w:t>- 8 -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"_Toc109054410"</w:instrText>
      </w:r>
      <w:r>
        <w:rPr>
          <w:rStyle w:val="23"/>
        </w:rPr>
        <w:instrText xml:space="preserve"> </w:instrText>
      </w:r>
      <w:r>
        <w:rPr>
          <w:rStyle w:val="23"/>
        </w:rPr>
        <w:fldChar w:fldCharType="separate"/>
      </w:r>
      <w:r>
        <w:rPr>
          <w:rStyle w:val="23"/>
          <w:rFonts w:ascii="黑体" w:hAnsi="黑体" w:eastAsia="黑体"/>
        </w:rPr>
        <w:t>6.民航生产经营单位职责</w:t>
      </w:r>
      <w:r>
        <w:tab/>
      </w:r>
      <w:r>
        <w:fldChar w:fldCharType="begin"/>
      </w:r>
      <w:r>
        <w:instrText xml:space="preserve"> PAGEREF _Toc109054410 \h </w:instrText>
      </w:r>
      <w:r>
        <w:fldChar w:fldCharType="separate"/>
      </w:r>
      <w:r>
        <w:t>- 8 -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"_Toc109054411"</w:instrText>
      </w:r>
      <w:r>
        <w:rPr>
          <w:rStyle w:val="23"/>
        </w:rPr>
        <w:instrText xml:space="preserve"> </w:instrText>
      </w:r>
      <w:r>
        <w:rPr>
          <w:rStyle w:val="23"/>
        </w:rPr>
        <w:fldChar w:fldCharType="separate"/>
      </w:r>
      <w:r>
        <w:rPr>
          <w:rStyle w:val="23"/>
          <w:b/>
          <w:bCs/>
        </w:rPr>
        <w:t>6.1 负责人的职责</w:t>
      </w:r>
      <w:r>
        <w:tab/>
      </w:r>
      <w:r>
        <w:fldChar w:fldCharType="begin"/>
      </w:r>
      <w:r>
        <w:instrText xml:space="preserve"> PAGEREF _Toc109054411 \h </w:instrText>
      </w:r>
      <w:r>
        <w:fldChar w:fldCharType="separate"/>
      </w:r>
      <w:r>
        <w:t>- 8 -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"_Toc109054412"</w:instrText>
      </w:r>
      <w:r>
        <w:rPr>
          <w:rStyle w:val="23"/>
        </w:rPr>
        <w:instrText xml:space="preserve"> </w:instrText>
      </w:r>
      <w:r>
        <w:rPr>
          <w:rStyle w:val="23"/>
        </w:rPr>
        <w:fldChar w:fldCharType="separate"/>
      </w:r>
      <w:r>
        <w:rPr>
          <w:rStyle w:val="23"/>
          <w:b/>
          <w:bCs/>
        </w:rPr>
        <w:t>6.2 部门的职责</w:t>
      </w:r>
      <w:r>
        <w:tab/>
      </w:r>
      <w:r>
        <w:fldChar w:fldCharType="begin"/>
      </w:r>
      <w:r>
        <w:instrText xml:space="preserve"> PAGEREF _Toc109054412 \h </w:instrText>
      </w:r>
      <w:r>
        <w:fldChar w:fldCharType="separate"/>
      </w:r>
      <w:r>
        <w:t>- 8 -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"_Toc109054413"</w:instrText>
      </w:r>
      <w:r>
        <w:rPr>
          <w:rStyle w:val="23"/>
        </w:rPr>
        <w:instrText xml:space="preserve"> </w:instrText>
      </w:r>
      <w:r>
        <w:rPr>
          <w:rStyle w:val="23"/>
        </w:rPr>
        <w:fldChar w:fldCharType="separate"/>
      </w:r>
      <w:r>
        <w:rPr>
          <w:rStyle w:val="23"/>
          <w:b/>
          <w:bCs/>
        </w:rPr>
        <w:t>6.3 从业人员的职责</w:t>
      </w:r>
      <w:r>
        <w:tab/>
      </w:r>
      <w:r>
        <w:fldChar w:fldCharType="begin"/>
      </w:r>
      <w:r>
        <w:instrText xml:space="preserve"> PAGEREF _Toc109054413 \h </w:instrText>
      </w:r>
      <w:r>
        <w:fldChar w:fldCharType="separate"/>
      </w:r>
      <w:r>
        <w:t>- 9 -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"_Toc109054414"</w:instrText>
      </w:r>
      <w:r>
        <w:rPr>
          <w:rStyle w:val="23"/>
        </w:rPr>
        <w:instrText xml:space="preserve"> </w:instrText>
      </w:r>
      <w:r>
        <w:rPr>
          <w:rStyle w:val="23"/>
        </w:rPr>
        <w:fldChar w:fldCharType="separate"/>
      </w:r>
      <w:r>
        <w:rPr>
          <w:rStyle w:val="23"/>
          <w:b/>
          <w:bCs/>
        </w:rPr>
        <w:t>6.4 工会的职责</w:t>
      </w:r>
      <w:r>
        <w:tab/>
      </w:r>
      <w:r>
        <w:fldChar w:fldCharType="begin"/>
      </w:r>
      <w:r>
        <w:instrText xml:space="preserve"> PAGEREF _Toc109054414 \h </w:instrText>
      </w:r>
      <w:r>
        <w:fldChar w:fldCharType="separate"/>
      </w:r>
      <w:r>
        <w:t>- 9 -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"_Toc109054415"</w:instrText>
      </w:r>
      <w:r>
        <w:rPr>
          <w:rStyle w:val="23"/>
        </w:rPr>
        <w:instrText xml:space="preserve"> </w:instrText>
      </w:r>
      <w:r>
        <w:rPr>
          <w:rStyle w:val="23"/>
        </w:rPr>
        <w:fldChar w:fldCharType="separate"/>
      </w:r>
      <w:r>
        <w:rPr>
          <w:rStyle w:val="23"/>
          <w:b/>
          <w:bCs/>
        </w:rPr>
        <w:t>6.5 外包方的监管职责</w:t>
      </w:r>
      <w:r>
        <w:tab/>
      </w:r>
      <w:r>
        <w:fldChar w:fldCharType="begin"/>
      </w:r>
      <w:r>
        <w:instrText xml:space="preserve"> PAGEREF _Toc109054415 \h </w:instrText>
      </w:r>
      <w:r>
        <w:fldChar w:fldCharType="separate"/>
      </w:r>
      <w:r>
        <w:t>- 9 -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"_Toc109054416"</w:instrText>
      </w:r>
      <w:r>
        <w:rPr>
          <w:rStyle w:val="23"/>
        </w:rPr>
        <w:instrText xml:space="preserve"> </w:instrText>
      </w:r>
      <w:r>
        <w:rPr>
          <w:rStyle w:val="23"/>
        </w:rPr>
        <w:fldChar w:fldCharType="separate"/>
      </w:r>
      <w:r>
        <w:rPr>
          <w:rStyle w:val="23"/>
          <w:b/>
          <w:bCs/>
        </w:rPr>
        <w:t>6.6 同一作业区域的监督职责</w:t>
      </w:r>
      <w:r>
        <w:tab/>
      </w:r>
      <w:r>
        <w:fldChar w:fldCharType="begin"/>
      </w:r>
      <w:r>
        <w:instrText xml:space="preserve"> PAGEREF _Toc109054416 \h </w:instrText>
      </w:r>
      <w:r>
        <w:fldChar w:fldCharType="separate"/>
      </w:r>
      <w:r>
        <w:t>- 10 -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"_Toc109054417"</w:instrText>
      </w:r>
      <w:r>
        <w:rPr>
          <w:rStyle w:val="23"/>
        </w:rPr>
        <w:instrText xml:space="preserve"> </w:instrText>
      </w:r>
      <w:r>
        <w:rPr>
          <w:rStyle w:val="23"/>
        </w:rPr>
        <w:fldChar w:fldCharType="separate"/>
      </w:r>
      <w:r>
        <w:rPr>
          <w:rStyle w:val="23"/>
          <w:rFonts w:ascii="黑体" w:hAnsi="黑体" w:eastAsia="黑体"/>
        </w:rPr>
        <w:t>7.安全风险分级管控</w:t>
      </w:r>
      <w:r>
        <w:tab/>
      </w:r>
      <w:r>
        <w:fldChar w:fldCharType="begin"/>
      </w:r>
      <w:r>
        <w:instrText xml:space="preserve"> PAGEREF _Toc109054417 \h </w:instrText>
      </w:r>
      <w:r>
        <w:fldChar w:fldCharType="separate"/>
      </w:r>
      <w:r>
        <w:t>- 10 -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"_Toc109054418"</w:instrText>
      </w:r>
      <w:r>
        <w:rPr>
          <w:rStyle w:val="23"/>
        </w:rPr>
        <w:instrText xml:space="preserve"> </w:instrText>
      </w:r>
      <w:r>
        <w:rPr>
          <w:rStyle w:val="23"/>
        </w:rPr>
        <w:fldChar w:fldCharType="separate"/>
      </w:r>
      <w:r>
        <w:rPr>
          <w:rStyle w:val="23"/>
          <w:b/>
          <w:bCs/>
        </w:rPr>
        <w:t>7.1 总体要求</w:t>
      </w:r>
      <w:r>
        <w:tab/>
      </w:r>
      <w:r>
        <w:fldChar w:fldCharType="begin"/>
      </w:r>
      <w:r>
        <w:instrText xml:space="preserve"> PAGEREF _Toc109054418 \h </w:instrText>
      </w:r>
      <w:r>
        <w:fldChar w:fldCharType="separate"/>
      </w:r>
      <w:r>
        <w:t>- 10 -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"_Toc109054419"</w:instrText>
      </w:r>
      <w:r>
        <w:rPr>
          <w:rStyle w:val="23"/>
        </w:rPr>
        <w:instrText xml:space="preserve"> </w:instrText>
      </w:r>
      <w:r>
        <w:rPr>
          <w:rStyle w:val="23"/>
        </w:rPr>
        <w:fldChar w:fldCharType="separate"/>
      </w:r>
      <w:r>
        <w:rPr>
          <w:rStyle w:val="23"/>
          <w:b/>
          <w:bCs/>
        </w:rPr>
        <w:t>7.2 系统描述</w:t>
      </w:r>
      <w:r>
        <w:tab/>
      </w:r>
      <w:r>
        <w:fldChar w:fldCharType="begin"/>
      </w:r>
      <w:r>
        <w:instrText xml:space="preserve"> PAGEREF _Toc109054419 \h </w:instrText>
      </w:r>
      <w:r>
        <w:fldChar w:fldCharType="separate"/>
      </w:r>
      <w:r>
        <w:t>- 10 -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"_Toc109054420"</w:instrText>
      </w:r>
      <w:r>
        <w:rPr>
          <w:rStyle w:val="23"/>
        </w:rPr>
        <w:instrText xml:space="preserve"> </w:instrText>
      </w:r>
      <w:r>
        <w:rPr>
          <w:rStyle w:val="23"/>
        </w:rPr>
        <w:fldChar w:fldCharType="separate"/>
      </w:r>
      <w:r>
        <w:rPr>
          <w:rStyle w:val="23"/>
          <w:b/>
          <w:bCs/>
        </w:rPr>
        <w:t>7.3 危险源识别</w:t>
      </w:r>
      <w:r>
        <w:tab/>
      </w:r>
      <w:r>
        <w:fldChar w:fldCharType="begin"/>
      </w:r>
      <w:r>
        <w:instrText xml:space="preserve"> PAGEREF _Toc109054420 \h </w:instrText>
      </w:r>
      <w:r>
        <w:fldChar w:fldCharType="separate"/>
      </w:r>
      <w:r>
        <w:t>- 11 -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"_Toc109054421"</w:instrText>
      </w:r>
      <w:r>
        <w:rPr>
          <w:rStyle w:val="23"/>
        </w:rPr>
        <w:instrText xml:space="preserve"> </w:instrText>
      </w:r>
      <w:r>
        <w:rPr>
          <w:rStyle w:val="23"/>
        </w:rPr>
        <w:fldChar w:fldCharType="separate"/>
      </w:r>
      <w:r>
        <w:rPr>
          <w:rStyle w:val="23"/>
          <w:b/>
          <w:bCs/>
        </w:rPr>
        <w:t>7.4 风险分析和风险评价分级</w:t>
      </w:r>
      <w:r>
        <w:tab/>
      </w:r>
      <w:r>
        <w:fldChar w:fldCharType="begin"/>
      </w:r>
      <w:r>
        <w:instrText xml:space="preserve"> PAGEREF _Toc109054421 \h </w:instrText>
      </w:r>
      <w:r>
        <w:fldChar w:fldCharType="separate"/>
      </w:r>
      <w:r>
        <w:t>- 12 -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"_Toc109054422"</w:instrText>
      </w:r>
      <w:r>
        <w:rPr>
          <w:rStyle w:val="23"/>
        </w:rPr>
        <w:instrText xml:space="preserve"> </w:instrText>
      </w:r>
      <w:r>
        <w:rPr>
          <w:rStyle w:val="23"/>
        </w:rPr>
        <w:fldChar w:fldCharType="separate"/>
      </w:r>
      <w:r>
        <w:rPr>
          <w:rStyle w:val="23"/>
          <w:b/>
          <w:bCs/>
        </w:rPr>
        <w:t>7.5 风险控制</w:t>
      </w:r>
      <w:r>
        <w:tab/>
      </w:r>
      <w:r>
        <w:fldChar w:fldCharType="begin"/>
      </w:r>
      <w:r>
        <w:instrText xml:space="preserve"> PAGEREF _Toc109054422 \h </w:instrText>
      </w:r>
      <w:r>
        <w:fldChar w:fldCharType="separate"/>
      </w:r>
      <w:r>
        <w:t>- 12 -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"_Toc109054423"</w:instrText>
      </w:r>
      <w:r>
        <w:rPr>
          <w:rStyle w:val="23"/>
        </w:rPr>
        <w:instrText xml:space="preserve"> </w:instrText>
      </w:r>
      <w:r>
        <w:rPr>
          <w:rStyle w:val="23"/>
        </w:rPr>
        <w:fldChar w:fldCharType="separate"/>
      </w:r>
      <w:r>
        <w:rPr>
          <w:rStyle w:val="23"/>
          <w:b/>
          <w:bCs/>
        </w:rPr>
        <w:t>7.6 安全风险分级管控台账</w:t>
      </w:r>
      <w:r>
        <w:tab/>
      </w:r>
      <w:r>
        <w:fldChar w:fldCharType="begin"/>
      </w:r>
      <w:r>
        <w:instrText xml:space="preserve"> PAGEREF _Toc109054423 \h </w:instrText>
      </w:r>
      <w:r>
        <w:fldChar w:fldCharType="separate"/>
      </w:r>
      <w:r>
        <w:t>- 13 -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"_Toc109054424"</w:instrText>
      </w:r>
      <w:r>
        <w:rPr>
          <w:rStyle w:val="23"/>
        </w:rPr>
        <w:instrText xml:space="preserve"> </w:instrText>
      </w:r>
      <w:r>
        <w:rPr>
          <w:rStyle w:val="23"/>
        </w:rPr>
        <w:fldChar w:fldCharType="separate"/>
      </w:r>
      <w:r>
        <w:rPr>
          <w:rStyle w:val="23"/>
          <w:rFonts w:ascii="黑体" w:hAnsi="黑体" w:eastAsia="黑体"/>
        </w:rPr>
        <w:t>8.安全隐患排查治理</w:t>
      </w:r>
      <w:r>
        <w:tab/>
      </w:r>
      <w:r>
        <w:fldChar w:fldCharType="begin"/>
      </w:r>
      <w:r>
        <w:instrText xml:space="preserve"> PAGEREF _Toc109054424 \h </w:instrText>
      </w:r>
      <w:r>
        <w:fldChar w:fldCharType="separate"/>
      </w:r>
      <w:r>
        <w:t>- 13 -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"_Toc109054425"</w:instrText>
      </w:r>
      <w:r>
        <w:rPr>
          <w:rStyle w:val="23"/>
        </w:rPr>
        <w:instrText xml:space="preserve"> </w:instrText>
      </w:r>
      <w:r>
        <w:rPr>
          <w:rStyle w:val="23"/>
        </w:rPr>
        <w:fldChar w:fldCharType="separate"/>
      </w:r>
      <w:r>
        <w:rPr>
          <w:rStyle w:val="23"/>
          <w:b/>
          <w:bCs/>
        </w:rPr>
        <w:t>8.1 总体要求</w:t>
      </w:r>
      <w:r>
        <w:tab/>
      </w:r>
      <w:r>
        <w:fldChar w:fldCharType="begin"/>
      </w:r>
      <w:r>
        <w:instrText xml:space="preserve"> PAGEREF _Toc109054425 \h </w:instrText>
      </w:r>
      <w:r>
        <w:fldChar w:fldCharType="separate"/>
      </w:r>
      <w:r>
        <w:t>- 13 -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"_Toc109054426"</w:instrText>
      </w:r>
      <w:r>
        <w:rPr>
          <w:rStyle w:val="23"/>
        </w:rPr>
        <w:instrText xml:space="preserve"> </w:instrText>
      </w:r>
      <w:r>
        <w:rPr>
          <w:rStyle w:val="23"/>
        </w:rPr>
        <w:fldChar w:fldCharType="separate"/>
      </w:r>
      <w:r>
        <w:rPr>
          <w:rStyle w:val="23"/>
          <w:b/>
          <w:bCs/>
        </w:rPr>
        <w:t>8.2 安全隐患排查</w:t>
      </w:r>
      <w:r>
        <w:tab/>
      </w:r>
      <w:r>
        <w:fldChar w:fldCharType="begin"/>
      </w:r>
      <w:r>
        <w:instrText xml:space="preserve"> PAGEREF _Toc109054426 \h </w:instrText>
      </w:r>
      <w:r>
        <w:fldChar w:fldCharType="separate"/>
      </w:r>
      <w:r>
        <w:t>- 14 -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"_Toc109054427"</w:instrText>
      </w:r>
      <w:r>
        <w:rPr>
          <w:rStyle w:val="23"/>
        </w:rPr>
        <w:instrText xml:space="preserve"> </w:instrText>
      </w:r>
      <w:r>
        <w:rPr>
          <w:rStyle w:val="23"/>
        </w:rPr>
        <w:fldChar w:fldCharType="separate"/>
      </w:r>
      <w:r>
        <w:rPr>
          <w:rStyle w:val="23"/>
          <w:b/>
          <w:bCs/>
        </w:rPr>
        <w:t>8.3 重大安全隐患治理</w:t>
      </w:r>
      <w:r>
        <w:tab/>
      </w:r>
      <w:r>
        <w:fldChar w:fldCharType="begin"/>
      </w:r>
      <w:r>
        <w:instrText xml:space="preserve"> PAGEREF _Toc109054427 \h </w:instrText>
      </w:r>
      <w:r>
        <w:fldChar w:fldCharType="separate"/>
      </w:r>
      <w:r>
        <w:t>- 14 -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"_Toc109054428"</w:instrText>
      </w:r>
      <w:r>
        <w:rPr>
          <w:rStyle w:val="23"/>
        </w:rPr>
        <w:instrText xml:space="preserve"> </w:instrText>
      </w:r>
      <w:r>
        <w:rPr>
          <w:rStyle w:val="23"/>
        </w:rPr>
        <w:fldChar w:fldCharType="separate"/>
      </w:r>
      <w:r>
        <w:rPr>
          <w:rStyle w:val="23"/>
          <w:b/>
          <w:bCs/>
        </w:rPr>
        <w:t>8.4 一般安全隐患治理</w:t>
      </w:r>
      <w:r>
        <w:tab/>
      </w:r>
      <w:r>
        <w:fldChar w:fldCharType="begin"/>
      </w:r>
      <w:r>
        <w:instrText xml:space="preserve"> PAGEREF _Toc109054428 \h </w:instrText>
      </w:r>
      <w:r>
        <w:fldChar w:fldCharType="separate"/>
      </w:r>
      <w:r>
        <w:t>- 15 -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"_Toc109054429"</w:instrText>
      </w:r>
      <w:r>
        <w:rPr>
          <w:rStyle w:val="23"/>
        </w:rPr>
        <w:instrText xml:space="preserve"> </w:instrText>
      </w:r>
      <w:r>
        <w:rPr>
          <w:rStyle w:val="23"/>
        </w:rPr>
        <w:fldChar w:fldCharType="separate"/>
      </w:r>
      <w:r>
        <w:rPr>
          <w:rStyle w:val="23"/>
          <w:b/>
          <w:bCs/>
        </w:rPr>
        <w:t>8.5 安全隐患排查治理台账</w:t>
      </w:r>
      <w:r>
        <w:tab/>
      </w:r>
      <w:r>
        <w:fldChar w:fldCharType="begin"/>
      </w:r>
      <w:r>
        <w:instrText xml:space="preserve"> PAGEREF _Toc109054429 \h </w:instrText>
      </w:r>
      <w:r>
        <w:fldChar w:fldCharType="separate"/>
      </w:r>
      <w:r>
        <w:t>- 15 -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"_Toc109054430"</w:instrText>
      </w:r>
      <w:r>
        <w:rPr>
          <w:rStyle w:val="23"/>
        </w:rPr>
        <w:instrText xml:space="preserve"> </w:instrText>
      </w:r>
      <w:r>
        <w:rPr>
          <w:rStyle w:val="23"/>
        </w:rPr>
        <w:fldChar w:fldCharType="separate"/>
      </w:r>
      <w:r>
        <w:rPr>
          <w:rStyle w:val="23"/>
          <w:rFonts w:ascii="黑体" w:hAnsi="黑体" w:eastAsia="黑体" w:cs="黑体"/>
        </w:rPr>
        <w:t>9.监督检查</w:t>
      </w:r>
      <w:r>
        <w:tab/>
      </w:r>
      <w:r>
        <w:fldChar w:fldCharType="begin"/>
      </w:r>
      <w:r>
        <w:instrText xml:space="preserve"> PAGEREF _Toc109054430 \h </w:instrText>
      </w:r>
      <w:r>
        <w:fldChar w:fldCharType="separate"/>
      </w:r>
      <w:r>
        <w:t>- 16 -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"_Toc109054431"</w:instrText>
      </w:r>
      <w:r>
        <w:rPr>
          <w:rStyle w:val="23"/>
        </w:rPr>
        <w:instrText xml:space="preserve"> </w:instrText>
      </w:r>
      <w:r>
        <w:rPr>
          <w:rStyle w:val="23"/>
        </w:rPr>
        <w:fldChar w:fldCharType="separate"/>
      </w:r>
      <w:r>
        <w:rPr>
          <w:rStyle w:val="23"/>
          <w:b/>
          <w:bCs/>
        </w:rPr>
        <w:t>9.1 监督检查重点</w:t>
      </w:r>
      <w:r>
        <w:tab/>
      </w:r>
      <w:r>
        <w:fldChar w:fldCharType="begin"/>
      </w:r>
      <w:r>
        <w:instrText xml:space="preserve"> PAGEREF _Toc109054431 \h </w:instrText>
      </w:r>
      <w:r>
        <w:fldChar w:fldCharType="separate"/>
      </w:r>
      <w:r>
        <w:t>- 16 -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"_Toc109054432"</w:instrText>
      </w:r>
      <w:r>
        <w:rPr>
          <w:rStyle w:val="23"/>
        </w:rPr>
        <w:instrText xml:space="preserve"> </w:instrText>
      </w:r>
      <w:r>
        <w:rPr>
          <w:rStyle w:val="23"/>
        </w:rPr>
        <w:fldChar w:fldCharType="separate"/>
      </w:r>
      <w:r>
        <w:rPr>
          <w:rStyle w:val="23"/>
          <w:b/>
          <w:bCs/>
        </w:rPr>
        <w:t>9.2 推动安全隐患动态清零</w:t>
      </w:r>
      <w:r>
        <w:tab/>
      </w:r>
      <w:r>
        <w:fldChar w:fldCharType="begin"/>
      </w:r>
      <w:r>
        <w:instrText xml:space="preserve"> PAGEREF _Toc109054432 \h </w:instrText>
      </w:r>
      <w:r>
        <w:fldChar w:fldCharType="separate"/>
      </w:r>
      <w:r>
        <w:t>- 16 -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"_Toc109054433"</w:instrText>
      </w:r>
      <w:r>
        <w:rPr>
          <w:rStyle w:val="23"/>
        </w:rPr>
        <w:instrText xml:space="preserve"> </w:instrText>
      </w:r>
      <w:r>
        <w:rPr>
          <w:rStyle w:val="23"/>
        </w:rPr>
        <w:fldChar w:fldCharType="separate"/>
      </w:r>
      <w:r>
        <w:rPr>
          <w:rStyle w:val="23"/>
          <w:b/>
          <w:bCs/>
        </w:rPr>
        <w:t>9.3 责任追究</w:t>
      </w:r>
      <w:r>
        <w:tab/>
      </w:r>
      <w:r>
        <w:fldChar w:fldCharType="begin"/>
      </w:r>
      <w:r>
        <w:instrText xml:space="preserve"> PAGEREF _Toc109054433 \h </w:instrText>
      </w:r>
      <w:r>
        <w:fldChar w:fldCharType="separate"/>
      </w:r>
      <w:r>
        <w:t>- 17 -</w:t>
      </w:r>
      <w:r>
        <w:fldChar w:fldCharType="end"/>
      </w:r>
      <w:r>
        <w:rPr>
          <w:rStyle w:val="23"/>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"_Toc109054434"</w:instrText>
      </w:r>
      <w:r>
        <w:rPr>
          <w:rStyle w:val="23"/>
        </w:rPr>
        <w:instrText xml:space="preserve"> </w:instrText>
      </w:r>
      <w:r>
        <w:rPr>
          <w:rStyle w:val="23"/>
        </w:rPr>
        <w:fldChar w:fldCharType="separate"/>
      </w:r>
      <w:r>
        <w:rPr>
          <w:rStyle w:val="23"/>
          <w:rFonts w:ascii="黑体" w:hAnsi="黑体" w:eastAsia="黑体" w:cs="黑体"/>
        </w:rPr>
        <w:t>10.生效与废止</w:t>
      </w:r>
      <w:r>
        <w:tab/>
      </w:r>
      <w:r>
        <w:fldChar w:fldCharType="begin"/>
      </w:r>
      <w:r>
        <w:instrText xml:space="preserve"> PAGEREF _Toc109054434 \h </w:instrText>
      </w:r>
      <w:r>
        <w:fldChar w:fldCharType="separate"/>
      </w:r>
      <w:r>
        <w:t>- 18 -</w:t>
      </w:r>
      <w:r>
        <w:fldChar w:fldCharType="end"/>
      </w:r>
      <w:r>
        <w:rPr>
          <w:rStyle w:val="23"/>
        </w:rPr>
        <w:fldChar w:fldCharType="end"/>
      </w:r>
    </w:p>
    <w:p>
      <w:pPr>
        <w:pStyle w:val="12"/>
        <w:rPr>
          <w:rFonts w:ascii="Calibri" w:hAnsi="Calibri" w:eastAsia="宋体" w:cs="宋体"/>
          <w:b w:val="0"/>
          <w:bCs w:val="0"/>
          <w:caps w:val="0"/>
          <w:sz w:val="21"/>
          <w:szCs w:val="22"/>
          <w:highlight w:val="none"/>
        </w:rPr>
      </w:pPr>
      <w:r>
        <w:rPr>
          <w:rStyle w:val="23"/>
          <w:highlight w:val="none"/>
        </w:rPr>
        <w:fldChar w:fldCharType="begin"/>
      </w:r>
      <w:r>
        <w:rPr>
          <w:rStyle w:val="23"/>
          <w:highlight w:val="none"/>
        </w:rPr>
        <w:instrText xml:space="preserve"> </w:instrText>
      </w:r>
      <w:r>
        <w:rPr>
          <w:highlight w:val="none"/>
        </w:rPr>
        <w:instrText xml:space="preserve">HYPERLINK \l "_Toc109054435"</w:instrText>
      </w:r>
      <w:r>
        <w:rPr>
          <w:rStyle w:val="23"/>
          <w:highlight w:val="none"/>
        </w:rPr>
        <w:instrText xml:space="preserve"> </w:instrText>
      </w:r>
      <w:r>
        <w:rPr>
          <w:rStyle w:val="23"/>
          <w:highlight w:val="none"/>
        </w:rPr>
        <w:fldChar w:fldCharType="separate"/>
      </w:r>
      <w:r>
        <w:rPr>
          <w:rStyle w:val="23"/>
          <w:rFonts w:ascii="黑体" w:hAnsi="黑体" w:eastAsia="黑体" w:cs="黑体"/>
          <w:highlight w:val="none"/>
        </w:rPr>
        <w:t>附录1 安全风险分级管控样例（危险源清单）</w:t>
      </w:r>
      <w:r>
        <w:rPr>
          <w:highlight w:val="none"/>
        </w:rPr>
        <w:tab/>
      </w:r>
      <w:r>
        <w:rPr>
          <w:highlight w:val="none"/>
        </w:rPr>
        <w:fldChar w:fldCharType="begin"/>
      </w:r>
      <w:r>
        <w:rPr>
          <w:highlight w:val="none"/>
        </w:rPr>
        <w:instrText xml:space="preserve"> PAGEREF _Toc109054435 \h </w:instrText>
      </w:r>
      <w:r>
        <w:rPr>
          <w:highlight w:val="none"/>
        </w:rPr>
        <w:fldChar w:fldCharType="separate"/>
      </w:r>
      <w:r>
        <w:rPr>
          <w:highlight w:val="none"/>
        </w:rPr>
        <w:t>- 19 -</w:t>
      </w:r>
      <w:r>
        <w:rPr>
          <w:highlight w:val="none"/>
        </w:rPr>
        <w:fldChar w:fldCharType="end"/>
      </w:r>
      <w:r>
        <w:rPr>
          <w:rStyle w:val="23"/>
          <w:highlight w:val="none"/>
        </w:rPr>
        <w:fldChar w:fldCharType="end"/>
      </w:r>
    </w:p>
    <w:p>
      <w:pPr>
        <w:pStyle w:val="12"/>
        <w:rPr>
          <w:rFonts w:ascii="Calibri" w:hAnsi="Calibri" w:eastAsia="宋体" w:cs="宋体"/>
          <w:b w:val="0"/>
          <w:bCs w:val="0"/>
          <w:caps w:val="0"/>
          <w:sz w:val="21"/>
          <w:szCs w:val="22"/>
        </w:rPr>
      </w:pPr>
      <w:r>
        <w:rPr>
          <w:rStyle w:val="23"/>
          <w:highlight w:val="none"/>
        </w:rPr>
        <w:fldChar w:fldCharType="begin"/>
      </w:r>
      <w:r>
        <w:rPr>
          <w:rStyle w:val="23"/>
          <w:highlight w:val="none"/>
        </w:rPr>
        <w:instrText xml:space="preserve"> </w:instrText>
      </w:r>
      <w:r>
        <w:rPr>
          <w:highlight w:val="none"/>
        </w:rPr>
        <w:instrText xml:space="preserve">HYPERLINK \l "_Toc109054436"</w:instrText>
      </w:r>
      <w:r>
        <w:rPr>
          <w:rStyle w:val="23"/>
          <w:highlight w:val="none"/>
        </w:rPr>
        <w:instrText xml:space="preserve"> </w:instrText>
      </w:r>
      <w:r>
        <w:rPr>
          <w:rStyle w:val="23"/>
          <w:highlight w:val="none"/>
        </w:rPr>
        <w:fldChar w:fldCharType="separate"/>
      </w:r>
      <w:r>
        <w:rPr>
          <w:rStyle w:val="23"/>
          <w:rFonts w:ascii="黑体" w:hAnsi="黑体" w:eastAsia="黑体" w:cs="黑体"/>
          <w:highlight w:val="none"/>
        </w:rPr>
        <w:t>附录2 安全隐患排查治理样例（安全隐患清单）</w:t>
      </w:r>
      <w:r>
        <w:rPr>
          <w:highlight w:val="none"/>
        </w:rPr>
        <w:tab/>
      </w:r>
      <w:r>
        <w:rPr>
          <w:highlight w:val="none"/>
        </w:rPr>
        <w:fldChar w:fldCharType="begin"/>
      </w:r>
      <w:r>
        <w:rPr>
          <w:highlight w:val="none"/>
        </w:rPr>
        <w:instrText xml:space="preserve"> PAGEREF _Toc109054436 \h </w:instrText>
      </w:r>
      <w:r>
        <w:rPr>
          <w:highlight w:val="none"/>
        </w:rPr>
        <w:fldChar w:fldCharType="separate"/>
      </w:r>
      <w:r>
        <w:rPr>
          <w:highlight w:val="none"/>
        </w:rPr>
        <w:t>- 22 -</w:t>
      </w:r>
      <w:r>
        <w:rPr>
          <w:highlight w:val="none"/>
        </w:rPr>
        <w:fldChar w:fldCharType="end"/>
      </w:r>
      <w:r>
        <w:rPr>
          <w:rStyle w:val="23"/>
          <w:highlight w:val="none"/>
        </w:rPr>
        <w:fldChar w:fldCharType="end"/>
      </w:r>
    </w:p>
    <w:p>
      <w:pPr>
        <w:pStyle w:val="12"/>
        <w:rPr>
          <w:rFonts w:ascii="Calibri" w:hAnsi="Calibri" w:eastAsia="宋体" w:cs="宋体"/>
          <w:b w:val="0"/>
          <w:bCs w:val="0"/>
          <w:caps w:val="0"/>
          <w:sz w:val="21"/>
          <w:szCs w:val="22"/>
        </w:rPr>
      </w:pPr>
      <w:r>
        <w:rPr>
          <w:rStyle w:val="23"/>
        </w:rPr>
        <w:fldChar w:fldCharType="begin"/>
      </w:r>
      <w:r>
        <w:rPr>
          <w:rStyle w:val="23"/>
        </w:rPr>
        <w:instrText xml:space="preserve"> </w:instrText>
      </w:r>
      <w:r>
        <w:instrText xml:space="preserve">HYPERLINK \l "_Toc109054437"</w:instrText>
      </w:r>
      <w:r>
        <w:rPr>
          <w:rStyle w:val="23"/>
        </w:rPr>
        <w:instrText xml:space="preserve"> </w:instrText>
      </w:r>
      <w:r>
        <w:rPr>
          <w:rStyle w:val="23"/>
        </w:rPr>
        <w:fldChar w:fldCharType="separate"/>
      </w:r>
      <w:r>
        <w:rPr>
          <w:rStyle w:val="23"/>
          <w:rFonts w:ascii="黑体" w:hAnsi="黑体" w:eastAsia="黑体" w:cs="黑体"/>
        </w:rPr>
        <w:t>附录3 xx航空公司系统描述样例</w:t>
      </w:r>
      <w:r>
        <w:tab/>
      </w:r>
      <w:r>
        <w:fldChar w:fldCharType="begin"/>
      </w:r>
      <w:r>
        <w:instrText xml:space="preserve"> PAGEREF _Toc109054437 \h </w:instrText>
      </w:r>
      <w:r>
        <w:fldChar w:fldCharType="separate"/>
      </w:r>
      <w:r>
        <w:t>- 32 -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"_Toc109054438"</w:instrText>
      </w:r>
      <w:r>
        <w:rPr>
          <w:rStyle w:val="23"/>
        </w:rPr>
        <w:instrText xml:space="preserve"> </w:instrText>
      </w:r>
      <w:r>
        <w:rPr>
          <w:rStyle w:val="23"/>
        </w:rPr>
        <w:fldChar w:fldCharType="separate"/>
      </w:r>
      <w:r>
        <w:rPr>
          <w:rStyle w:val="23"/>
          <w:rFonts w:ascii="黑体" w:hAnsi="黑体" w:eastAsia="黑体"/>
        </w:rPr>
        <w:t>1 基本情况</w:t>
      </w:r>
      <w:r>
        <w:tab/>
      </w:r>
      <w:r>
        <w:fldChar w:fldCharType="begin"/>
      </w:r>
      <w:r>
        <w:instrText xml:space="preserve"> PAGEREF _Toc109054438 \h </w:instrText>
      </w:r>
      <w:r>
        <w:fldChar w:fldCharType="separate"/>
      </w:r>
      <w:r>
        <w:t>- 32 -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"_Toc109054439"</w:instrText>
      </w:r>
      <w:r>
        <w:rPr>
          <w:rStyle w:val="23"/>
        </w:rPr>
        <w:instrText xml:space="preserve"> </w:instrText>
      </w:r>
      <w:r>
        <w:rPr>
          <w:rStyle w:val="23"/>
        </w:rPr>
        <w:fldChar w:fldCharType="separate"/>
      </w:r>
      <w:r>
        <w:rPr>
          <w:rStyle w:val="23"/>
          <w:rFonts w:ascii="黑体" w:hAnsi="黑体" w:eastAsia="黑体"/>
        </w:rPr>
        <w:t>2 组织架构</w:t>
      </w:r>
      <w:r>
        <w:tab/>
      </w:r>
      <w:r>
        <w:fldChar w:fldCharType="begin"/>
      </w:r>
      <w:r>
        <w:instrText xml:space="preserve"> PAGEREF _Toc109054439 \h </w:instrText>
      </w:r>
      <w:r>
        <w:fldChar w:fldCharType="separate"/>
      </w:r>
      <w:r>
        <w:t>- 32 -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"_Toc109054440"</w:instrText>
      </w:r>
      <w:r>
        <w:rPr>
          <w:rStyle w:val="23"/>
        </w:rPr>
        <w:instrText xml:space="preserve"> </w:instrText>
      </w:r>
      <w:r>
        <w:rPr>
          <w:rStyle w:val="23"/>
        </w:rPr>
        <w:fldChar w:fldCharType="separate"/>
      </w:r>
      <w:r>
        <w:rPr>
          <w:rStyle w:val="23"/>
          <w:rFonts w:ascii="黑体" w:hAnsi="黑体" w:eastAsia="黑体"/>
        </w:rPr>
        <w:t>3 核心业务模块和接口</w:t>
      </w:r>
      <w:r>
        <w:tab/>
      </w:r>
      <w:r>
        <w:fldChar w:fldCharType="begin"/>
      </w:r>
      <w:r>
        <w:instrText xml:space="preserve"> PAGEREF _Toc109054440 \h </w:instrText>
      </w:r>
      <w:r>
        <w:fldChar w:fldCharType="separate"/>
      </w:r>
      <w:r>
        <w:t>- 33 -</w:t>
      </w:r>
      <w:r>
        <w:fldChar w:fldCharType="end"/>
      </w:r>
      <w:r>
        <w:rPr>
          <w:rStyle w:val="23"/>
        </w:rPr>
        <w:fldChar w:fldCharType="end"/>
      </w:r>
    </w:p>
    <w:p>
      <w:pPr>
        <w:pStyle w:val="16"/>
        <w:tabs>
          <w:tab w:val="right" w:leader="dot" w:pos="8296"/>
        </w:tabs>
        <w:rPr>
          <w:rFonts w:ascii="Calibri" w:hAnsi="Calibri" w:eastAsia="宋体" w:cs="宋体"/>
          <w:smallCaps w:val="0"/>
          <w:sz w:val="21"/>
          <w:szCs w:val="22"/>
        </w:rPr>
      </w:pPr>
      <w:r>
        <w:rPr>
          <w:rStyle w:val="23"/>
        </w:rPr>
        <w:fldChar w:fldCharType="begin"/>
      </w:r>
      <w:r>
        <w:rPr>
          <w:rStyle w:val="23"/>
        </w:rPr>
        <w:instrText xml:space="preserve"> </w:instrText>
      </w:r>
      <w:r>
        <w:instrText xml:space="preserve">HYPERLINK \l "_Toc109054441"</w:instrText>
      </w:r>
      <w:r>
        <w:rPr>
          <w:rStyle w:val="23"/>
        </w:rPr>
        <w:instrText xml:space="preserve"> </w:instrText>
      </w:r>
      <w:r>
        <w:rPr>
          <w:rStyle w:val="23"/>
        </w:rPr>
        <w:fldChar w:fldCharType="separate"/>
      </w:r>
      <w:r>
        <w:rPr>
          <w:rStyle w:val="23"/>
          <w:rFonts w:ascii="黑体" w:hAnsi="黑体" w:eastAsia="黑体"/>
        </w:rPr>
        <w:t>4 主要规章制度和程序</w:t>
      </w:r>
      <w:r>
        <w:tab/>
      </w:r>
      <w:r>
        <w:fldChar w:fldCharType="begin"/>
      </w:r>
      <w:r>
        <w:instrText xml:space="preserve"> PAGEREF _Toc109054441 \h </w:instrText>
      </w:r>
      <w:r>
        <w:fldChar w:fldCharType="separate"/>
      </w:r>
      <w:r>
        <w:t>- 33 -</w:t>
      </w:r>
      <w:r>
        <w:fldChar w:fldCharType="end"/>
      </w:r>
      <w:r>
        <w:rPr>
          <w:rStyle w:val="23"/>
        </w:rPr>
        <w:fldChar w:fldCharType="end"/>
      </w:r>
    </w:p>
    <w:p>
      <w:pPr>
        <w:adjustRightInd w:val="0"/>
        <w:snapToGrid w:val="0"/>
        <w:spacing w:line="360" w:lineRule="auto"/>
        <w:rPr>
          <w:rFonts w:ascii="黑体" w:hAnsi="黑体" w:eastAsia="黑体"/>
          <w:sz w:val="36"/>
          <w:szCs w:val="36"/>
        </w:rPr>
        <w:sectPr>
          <w:footerReference r:id="rId4" w:type="default"/>
          <w:pgSz w:w="11906" w:h="16838"/>
          <w:pgMar w:top="1440" w:right="1800" w:bottom="1440" w:left="1800" w:header="851" w:footer="992" w:gutter="0"/>
          <w:cols w:space="425" w:num="1"/>
          <w:docGrid w:type="lines" w:linePitch="312" w:charSpace="0"/>
        </w:sectPr>
      </w:pPr>
      <w:r>
        <w:rPr>
          <w:rFonts w:ascii="黑体" w:hAnsi="黑体" w:eastAsia="黑体"/>
          <w:sz w:val="24"/>
          <w:szCs w:val="24"/>
        </w:rPr>
        <w:fldChar w:fldCharType="end"/>
      </w:r>
    </w:p>
    <w:p>
      <w:pPr>
        <w:adjustRightInd w:val="0"/>
        <w:snapToGrid w:val="0"/>
        <w:spacing w:before="156" w:beforeLines="50" w:after="62" w:afterLines="20" w:line="560" w:lineRule="exact"/>
        <w:jc w:val="left"/>
        <w:outlineLvl w:val="0"/>
        <w:rPr>
          <w:rFonts w:ascii="黑体" w:hAnsi="黑体" w:eastAsia="黑体"/>
          <w:sz w:val="32"/>
          <w:szCs w:val="32"/>
        </w:rPr>
      </w:pPr>
      <w:bookmarkStart w:id="11" w:name="_Toc109054402"/>
      <w:r>
        <w:rPr>
          <w:rFonts w:ascii="黑体" w:hAnsi="黑体" w:eastAsia="黑体"/>
          <w:sz w:val="32"/>
          <w:szCs w:val="32"/>
        </w:rPr>
        <w:t>1.</w:t>
      </w:r>
      <w:r>
        <w:rPr>
          <w:rFonts w:hint="eastAsia" w:ascii="黑体" w:hAnsi="黑体" w:eastAsia="黑体"/>
          <w:sz w:val="32"/>
          <w:szCs w:val="32"/>
        </w:rPr>
        <w:t>目的</w:t>
      </w:r>
      <w:bookmarkEnd w:id="11"/>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明确“安全风险分级管控和隐患排查治理双重预防工作机制”（以下简称双重预防机制）在民航安全管理体系（SMS）内的相关定义，以及基本逻辑关系、功能定位和运转流程，推动</w:t>
      </w:r>
      <w:r>
        <w:rPr>
          <w:rFonts w:ascii="仿宋_GB2312" w:hAnsi="仿宋_GB2312" w:eastAsia="仿宋_GB2312" w:cs="仿宋_GB2312"/>
          <w:sz w:val="32"/>
          <w:szCs w:val="32"/>
        </w:rPr>
        <w:t>SMS</w:t>
      </w:r>
      <w:r>
        <w:rPr>
          <w:rFonts w:hint="eastAsia" w:ascii="仿宋_GB2312" w:hAnsi="仿宋_GB2312" w:eastAsia="仿宋_GB2312" w:cs="仿宋_GB2312"/>
          <w:sz w:val="32"/>
          <w:szCs w:val="32"/>
        </w:rPr>
        <w:t>与双重预防机制的有机融合，更加有效地防范化解安全风险。</w:t>
      </w:r>
    </w:p>
    <w:p>
      <w:pPr>
        <w:adjustRightInd w:val="0"/>
        <w:snapToGrid w:val="0"/>
        <w:spacing w:before="156" w:beforeLines="50" w:after="62" w:afterLines="20" w:line="560" w:lineRule="exact"/>
        <w:jc w:val="left"/>
        <w:outlineLvl w:val="0"/>
        <w:rPr>
          <w:rFonts w:ascii="黑体" w:hAnsi="黑体" w:eastAsia="黑体"/>
          <w:sz w:val="32"/>
          <w:szCs w:val="32"/>
        </w:rPr>
      </w:pPr>
      <w:bookmarkStart w:id="12" w:name="_Toc109054403"/>
      <w:r>
        <w:rPr>
          <w:rFonts w:ascii="黑体" w:hAnsi="黑体" w:eastAsia="黑体"/>
          <w:sz w:val="32"/>
          <w:szCs w:val="32"/>
        </w:rPr>
        <w:t>2.</w:t>
      </w:r>
      <w:r>
        <w:rPr>
          <w:rFonts w:hint="eastAsia" w:ascii="黑体" w:hAnsi="黑体" w:eastAsia="黑体"/>
          <w:sz w:val="32"/>
          <w:szCs w:val="32"/>
        </w:rPr>
        <w:t>适用范围</w:t>
      </w:r>
      <w:bookmarkEnd w:id="12"/>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本规定适用于中华人民共和国境内依法设立的建有</w:t>
      </w:r>
      <w:r>
        <w:rPr>
          <w:rFonts w:ascii="仿宋_GB2312" w:hAnsi="仿宋_GB2312" w:eastAsia="仿宋_GB2312" w:cs="仿宋_GB2312"/>
          <w:sz w:val="32"/>
          <w:szCs w:val="32"/>
        </w:rPr>
        <w:t>SMS</w:t>
      </w:r>
      <w:r>
        <w:rPr>
          <w:rFonts w:hint="eastAsia" w:ascii="仿宋_GB2312" w:hAnsi="仿宋_GB2312" w:eastAsia="仿宋_GB2312" w:cs="仿宋_GB2312"/>
          <w:sz w:val="32"/>
          <w:szCs w:val="32"/>
        </w:rPr>
        <w:t>的民航生产经营单位开展的安全风险分级管控和隐患排查治理工作，以及民航行政机关相关监管活动。其他民航生产经营单位应参照执行。</w:t>
      </w:r>
    </w:p>
    <w:p>
      <w:pPr>
        <w:adjustRightInd w:val="0"/>
        <w:snapToGrid w:val="0"/>
        <w:spacing w:before="156" w:beforeLines="50" w:after="62" w:afterLines="20" w:line="560" w:lineRule="exact"/>
        <w:jc w:val="left"/>
        <w:outlineLvl w:val="0"/>
        <w:rPr>
          <w:rFonts w:ascii="黑体" w:hAnsi="黑体" w:eastAsia="黑体"/>
          <w:sz w:val="32"/>
          <w:szCs w:val="32"/>
        </w:rPr>
      </w:pPr>
      <w:bookmarkStart w:id="13" w:name="_Toc109054404"/>
      <w:r>
        <w:rPr>
          <w:rFonts w:ascii="黑体" w:hAnsi="黑体" w:eastAsia="黑体"/>
          <w:sz w:val="32"/>
          <w:szCs w:val="32"/>
        </w:rPr>
        <w:t>3.</w:t>
      </w:r>
      <w:r>
        <w:rPr>
          <w:rFonts w:hint="eastAsia" w:ascii="黑体" w:hAnsi="黑体" w:eastAsia="黑体"/>
          <w:sz w:val="32"/>
          <w:szCs w:val="32"/>
        </w:rPr>
        <w:t>定义</w:t>
      </w:r>
      <w:bookmarkEnd w:id="13"/>
    </w:p>
    <w:p>
      <w:pPr>
        <w:adjustRightInd w:val="0"/>
        <w:snapToGrid w:val="0"/>
        <w:spacing w:after="62" w:afterLines="2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危险源：</w:t>
      </w:r>
      <w:r>
        <w:rPr>
          <w:rFonts w:hint="eastAsia" w:ascii="仿宋_GB2312" w:hAnsi="仿宋_GB2312" w:eastAsia="仿宋_GB2312" w:cs="仿宋_GB2312"/>
          <w:color w:val="000000"/>
          <w:sz w:val="32"/>
          <w:szCs w:val="32"/>
        </w:rPr>
        <w:t>可能导致民用航空器事故（以下简称“事故”）、民用航空器征候（以下简称“征候”）以及一般事件等后果的条件或者物体。（样例见附录</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p>
    <w:p>
      <w:pPr>
        <w:adjustRightInd w:val="0"/>
        <w:snapToGrid w:val="0"/>
        <w:spacing w:before="312" w:beforeLines="100"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注1：区分危险源和隐患的重要性——国际民航组织在Doc9859《安全管理手册》中使用</w:t>
      </w:r>
      <w:r>
        <w:rPr>
          <w:rFonts w:ascii="楷体_GB2312" w:hAnsi="楷体_GB2312" w:eastAsia="楷体_GB2312" w:cs="楷体_GB2312"/>
          <w:sz w:val="28"/>
          <w:szCs w:val="28"/>
        </w:rPr>
        <w:t>Hazard代指危险源，</w:t>
      </w:r>
      <w:r>
        <w:rPr>
          <w:rFonts w:hint="eastAsia" w:ascii="楷体_GB2312" w:hAnsi="楷体_GB2312" w:eastAsia="楷体_GB2312" w:cs="楷体_GB2312"/>
          <w:sz w:val="28"/>
          <w:szCs w:val="28"/>
        </w:rPr>
        <w:t>并</w:t>
      </w:r>
      <w:r>
        <w:rPr>
          <w:rFonts w:hint="eastAsia" w:ascii="楷体_GB2312" w:hAnsi="楷体_GB2312" w:eastAsia="楷体_GB2312" w:cs="楷体_GB2312"/>
          <w:sz w:val="28"/>
          <w:szCs w:val="28"/>
          <w:lang w:val="en-US" w:eastAsia="zh-CN"/>
        </w:rPr>
        <w:t>另外</w:t>
      </w:r>
      <w:r>
        <w:rPr>
          <w:rFonts w:ascii="楷体_GB2312" w:hAnsi="楷体_GB2312" w:eastAsia="楷体_GB2312" w:cs="楷体_GB2312"/>
          <w:sz w:val="28"/>
          <w:szCs w:val="28"/>
        </w:rPr>
        <w:t>提出了</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不遵守规章、政策、流程和程序的情况</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以及</w:t>
      </w:r>
      <w:r>
        <w:rPr>
          <w:rFonts w:hint="eastAsia" w:ascii="楷体_GB2312" w:hAnsi="楷体_GB2312" w:eastAsia="楷体_GB2312" w:cs="楷体_GB2312"/>
          <w:sz w:val="28"/>
          <w:szCs w:val="28"/>
        </w:rPr>
        <w:t>“防范措施”中的“弱点</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weakness</w:t>
      </w:r>
      <w:r>
        <w:rPr>
          <w:rFonts w:hint="eastAsia" w:ascii="楷体_GB2312" w:hAnsi="楷体_GB2312" w:eastAsia="楷体_GB2312" w:cs="楷体_GB2312"/>
          <w:sz w:val="28"/>
          <w:szCs w:val="28"/>
          <w:lang w:eastAsia="zh-CN"/>
        </w:rPr>
        <w:t>）</w:t>
      </w:r>
      <w:r>
        <w:rPr>
          <w:rFonts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或</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缺陷(deficiency）</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对比可知，</w:t>
      </w:r>
      <w:r>
        <w:rPr>
          <w:rFonts w:hint="eastAsia" w:ascii="楷体_GB2312" w:hAnsi="楷体_GB2312" w:eastAsia="楷体_GB2312" w:cs="楷体_GB2312"/>
          <w:sz w:val="28"/>
          <w:szCs w:val="28"/>
        </w:rPr>
        <w:t>这一提法实质上符合国内关于“隐患”的定义，</w:t>
      </w:r>
      <w:r>
        <w:rPr>
          <w:rFonts w:ascii="楷体_GB2312" w:hAnsi="楷体_GB2312" w:eastAsia="楷体_GB2312" w:cs="楷体_GB2312"/>
          <w:sz w:val="28"/>
          <w:szCs w:val="28"/>
        </w:rPr>
        <w:t>但</w:t>
      </w:r>
      <w:r>
        <w:rPr>
          <w:rFonts w:hint="eastAsia" w:ascii="楷体_GB2312" w:hAnsi="楷体_GB2312" w:eastAsia="楷体_GB2312" w:cs="楷体_GB2312"/>
          <w:sz w:val="28"/>
          <w:szCs w:val="28"/>
        </w:rPr>
        <w:t>Doc9859《安全管理手册》中未在定义部分</w:t>
      </w:r>
      <w:r>
        <w:rPr>
          <w:rFonts w:ascii="楷体_GB2312" w:hAnsi="楷体_GB2312" w:eastAsia="楷体_GB2312" w:cs="楷体_GB2312"/>
          <w:sz w:val="28"/>
          <w:szCs w:val="28"/>
        </w:rPr>
        <w:t>将</w:t>
      </w:r>
      <w:r>
        <w:rPr>
          <w:rFonts w:hint="eastAsia" w:ascii="楷体_GB2312" w:hAnsi="楷体_GB2312" w:eastAsia="楷体_GB2312" w:cs="楷体_GB2312"/>
          <w:sz w:val="28"/>
          <w:szCs w:val="28"/>
          <w:lang w:val="en-US" w:eastAsia="zh-CN"/>
        </w:rPr>
        <w:t>这些</w:t>
      </w:r>
      <w:r>
        <w:rPr>
          <w:rFonts w:ascii="楷体_GB2312" w:hAnsi="楷体_GB2312" w:eastAsia="楷体_GB2312" w:cs="楷体_GB2312"/>
          <w:sz w:val="28"/>
          <w:szCs w:val="28"/>
        </w:rPr>
        <w:t>定义为“隐患”</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从而</w:t>
      </w:r>
      <w:r>
        <w:rPr>
          <w:rFonts w:hint="eastAsia" w:ascii="楷体_GB2312" w:hAnsi="楷体_GB2312" w:eastAsia="楷体_GB2312" w:cs="楷体_GB2312"/>
          <w:sz w:val="28"/>
          <w:szCs w:val="28"/>
        </w:rPr>
        <w:t>造成一些单位容易</w:t>
      </w:r>
      <w:r>
        <w:rPr>
          <w:rFonts w:ascii="楷体_GB2312" w:hAnsi="楷体_GB2312" w:eastAsia="楷体_GB2312" w:cs="楷体_GB2312"/>
          <w:sz w:val="28"/>
          <w:szCs w:val="28"/>
        </w:rPr>
        <w:t>在危险源识别和隐患排查中出现</w:t>
      </w:r>
      <w:r>
        <w:rPr>
          <w:rFonts w:hint="eastAsia" w:ascii="楷体_GB2312" w:hAnsi="楷体_GB2312" w:eastAsia="楷体_GB2312" w:cs="楷体_GB2312"/>
          <w:sz w:val="28"/>
          <w:szCs w:val="28"/>
        </w:rPr>
        <w:t>概念</w:t>
      </w:r>
      <w:r>
        <w:rPr>
          <w:rFonts w:ascii="楷体_GB2312" w:hAnsi="楷体_GB2312" w:eastAsia="楷体_GB2312" w:cs="楷体_GB2312"/>
          <w:sz w:val="28"/>
          <w:szCs w:val="28"/>
        </w:rPr>
        <w:t>混淆和</w:t>
      </w:r>
      <w:r>
        <w:rPr>
          <w:rFonts w:hint="eastAsia" w:ascii="楷体_GB2312" w:hAnsi="楷体_GB2312" w:eastAsia="楷体_GB2312" w:cs="楷体_GB2312"/>
          <w:sz w:val="28"/>
          <w:szCs w:val="28"/>
        </w:rPr>
        <w:t>记录混乱</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特别是当</w:t>
      </w:r>
      <w:r>
        <w:rPr>
          <w:rFonts w:ascii="楷体_GB2312" w:hAnsi="楷体_GB2312" w:eastAsia="楷体_GB2312" w:cs="楷体_GB2312"/>
          <w:sz w:val="28"/>
          <w:szCs w:val="28"/>
        </w:rPr>
        <w:t>“双重预防</w:t>
      </w:r>
      <w:r>
        <w:rPr>
          <w:rFonts w:hint="eastAsia" w:ascii="楷体_GB2312" w:hAnsi="楷体_GB2312" w:eastAsia="楷体_GB2312" w:cs="楷体_GB2312"/>
          <w:sz w:val="28"/>
          <w:szCs w:val="28"/>
        </w:rPr>
        <w:t>机制</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上升为</w:t>
      </w:r>
      <w:r>
        <w:rPr>
          <w:rFonts w:ascii="楷体_GB2312" w:hAnsi="楷体_GB2312" w:eastAsia="楷体_GB2312" w:cs="楷体_GB2312"/>
          <w:sz w:val="28"/>
          <w:szCs w:val="28"/>
        </w:rPr>
        <w:t>法定要求</w:t>
      </w:r>
      <w:r>
        <w:rPr>
          <w:rFonts w:hint="eastAsia" w:ascii="楷体_GB2312" w:hAnsi="楷体_GB2312" w:eastAsia="楷体_GB2312" w:cs="楷体_GB2312"/>
          <w:sz w:val="28"/>
          <w:szCs w:val="28"/>
        </w:rPr>
        <w:t>之后，两者的混淆将成为相关管理满足法定要求的阻碍，必须加以区分。</w:t>
      </w:r>
    </w:p>
    <w:p>
      <w:pPr>
        <w:tabs>
          <w:tab w:val="left" w:pos="1275"/>
        </w:tabs>
        <w:adjustRightInd w:val="0"/>
        <w:snapToGrid w:val="0"/>
        <w:spacing w:before="312" w:beforeLines="100" w:after="62" w:afterLines="20" w:line="560" w:lineRule="exact"/>
        <w:ind w:firstLine="560" w:firstLineChars="200"/>
        <w:rPr>
          <w:rFonts w:ascii="楷体_GB2312" w:hAnsi="楷体_GB2312" w:eastAsia="楷体_GB2312" w:cs="楷体_GB2312"/>
          <w:color w:val="FF0000"/>
          <w:sz w:val="28"/>
          <w:szCs w:val="28"/>
          <w:highlight w:val="cyan"/>
        </w:rPr>
      </w:pPr>
      <w:r>
        <w:rPr>
          <w:rFonts w:hint="eastAsia" w:ascii="楷体_GB2312" w:hAnsi="楷体_GB2312" w:eastAsia="楷体_GB2312" w:cs="楷体_GB2312"/>
          <w:sz w:val="28"/>
          <w:szCs w:val="28"/>
        </w:rPr>
        <w:t>注2：区分危险源和隐患的必要性——《中华人民共和国安全生产法》（以下简称《安全生产法》）中明确将“危险源”和“隐患”列在同一条法条中，本着立法中避免不同名称描述相同含义导致概念混淆的原则，“危险源”和“隐患”出现在同一法条内，意味着应分属不同定义和内涵。《民航安全隐患排查治理长效机制建设指南》（民航规</w:t>
      </w:r>
      <w:r>
        <w:rPr>
          <w:rFonts w:hint="eastAsia" w:ascii="微软雅黑" w:hAnsi="微软雅黑" w:eastAsia="微软雅黑"/>
          <w:sz w:val="28"/>
          <w:szCs w:val="28"/>
        </w:rPr>
        <w:t>〔</w:t>
      </w:r>
      <w:r>
        <w:rPr>
          <w:rFonts w:hint="eastAsia" w:ascii="仿宋_GB2312" w:hAnsi="仿宋" w:eastAsia="仿宋_GB2312"/>
          <w:sz w:val="28"/>
          <w:szCs w:val="28"/>
        </w:rPr>
        <w:t>20</w:t>
      </w:r>
      <w:r>
        <w:rPr>
          <w:rFonts w:ascii="仿宋_GB2312" w:hAnsi="仿宋" w:eastAsia="仿宋_GB2312"/>
          <w:sz w:val="28"/>
          <w:szCs w:val="28"/>
        </w:rPr>
        <w:t>19</w:t>
      </w:r>
      <w:r>
        <w:rPr>
          <w:rFonts w:hint="eastAsia" w:ascii="微软雅黑" w:hAnsi="微软雅黑" w:eastAsia="微软雅黑"/>
          <w:sz w:val="28"/>
          <w:szCs w:val="28"/>
        </w:rPr>
        <w:t>〕</w:t>
      </w:r>
      <w:r>
        <w:rPr>
          <w:rFonts w:ascii="楷体_GB2312" w:hAnsi="楷体_GB2312" w:eastAsia="楷体_GB2312" w:cs="楷体_GB2312"/>
          <w:sz w:val="28"/>
          <w:szCs w:val="28"/>
        </w:rPr>
        <w:t>11</w:t>
      </w:r>
      <w:r>
        <w:rPr>
          <w:rFonts w:hint="eastAsia" w:ascii="楷体_GB2312" w:hAnsi="楷体_GB2312" w:eastAsia="楷体_GB2312" w:cs="楷体_GB2312"/>
          <w:sz w:val="28"/>
          <w:szCs w:val="28"/>
        </w:rPr>
        <w:t>号）借用了我国</w:t>
      </w:r>
      <w:r>
        <w:rPr>
          <w:rFonts w:ascii="楷体_GB2312" w:hAnsi="楷体_GB2312" w:eastAsia="楷体_GB2312" w:cs="楷体_GB2312"/>
          <w:sz w:val="28"/>
          <w:szCs w:val="28"/>
        </w:rPr>
        <w:t>90年代安全管理理论中关于危险源划分为第一类、第二类危险源的概念，这一理论中的第二类危险源即安全隐患。为避免概念混淆</w:t>
      </w:r>
      <w:r>
        <w:rPr>
          <w:rFonts w:hint="eastAsia" w:ascii="楷体_GB2312" w:hAnsi="楷体_GB2312" w:eastAsia="楷体_GB2312" w:cs="楷体_GB2312"/>
          <w:sz w:val="28"/>
          <w:szCs w:val="28"/>
        </w:rPr>
        <w:t>，本办法将取代《民航安全隐患排查治理长效机制建设指南》，不再使用“一类危险源、二类危险源”的表述，后者直接表述为“安全隐患”。</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注3：当需要把不能胜任或未经培训的“人”列为危险源时，应注意与“人的不安全行为”区分，后者属于隐患的范畴。</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注4：根据国际民航组织在Doc9859《安全管理手册》，“危险源</w:t>
      </w:r>
      <w:r>
        <w:rPr>
          <w:rFonts w:ascii="楷体_GB2312" w:hAnsi="楷体_GB2312" w:eastAsia="楷体_GB2312" w:cs="楷体_GB2312"/>
          <w:sz w:val="28"/>
          <w:szCs w:val="28"/>
        </w:rPr>
        <w:t>是航空活动不可避免的一部分</w:t>
      </w:r>
      <w:r>
        <w:rPr>
          <w:rFonts w:hint="eastAsia" w:ascii="楷体_GB2312" w:hAnsi="楷体_GB2312" w:eastAsia="楷体_GB2312" w:cs="楷体_GB2312"/>
          <w:sz w:val="28"/>
          <w:szCs w:val="28"/>
        </w:rPr>
        <w:t>，可被视为系统或其环境内以一种或另一种形式蛰伏的潜在危害，这种潜在危害可能以不同的形式出现，例如：作为自然条件（如地形）或技术状态（如跑道标志）“。可见，危险源定义中的“条件”通常指环境因素；“物体”则通常包括运行体系内存在的能量或物质。因此</w:t>
      </w:r>
      <w:r>
        <w:rPr>
          <w:rFonts w:ascii="楷体_GB2312" w:hAnsi="楷体_GB2312" w:eastAsia="楷体_GB2312" w:cs="楷体_GB2312"/>
          <w:sz w:val="28"/>
          <w:szCs w:val="28"/>
        </w:rPr>
        <w:t>“危险源”</w:t>
      </w:r>
      <w:r>
        <w:rPr>
          <w:rFonts w:hint="eastAsia" w:ascii="楷体_GB2312" w:hAnsi="楷体_GB2312" w:eastAsia="楷体_GB2312" w:cs="楷体_GB2312"/>
          <w:sz w:val="28"/>
          <w:szCs w:val="28"/>
        </w:rPr>
        <w:t>的基本描述应</w:t>
      </w:r>
      <w:r>
        <w:rPr>
          <w:rFonts w:ascii="楷体_GB2312" w:hAnsi="楷体_GB2312" w:eastAsia="楷体_GB2312" w:cs="楷体_GB2312"/>
          <w:sz w:val="28"/>
          <w:szCs w:val="28"/>
        </w:rPr>
        <w:t>尽量使用名词，如“</w:t>
      </w:r>
      <w:r>
        <w:rPr>
          <w:rFonts w:hint="eastAsia" w:ascii="楷体_GB2312" w:hAnsi="楷体_GB2312" w:eastAsia="楷体_GB2312" w:cs="楷体_GB2312"/>
          <w:sz w:val="28"/>
          <w:szCs w:val="28"/>
        </w:rPr>
        <w:t>XXX</w:t>
      </w:r>
      <w:r>
        <w:rPr>
          <w:rFonts w:ascii="楷体_GB2312" w:hAnsi="楷体_GB2312" w:eastAsia="楷体_GB2312" w:cs="楷体_GB2312"/>
          <w:sz w:val="28"/>
          <w:szCs w:val="28"/>
        </w:rPr>
        <w:t>可燃物、</w:t>
      </w:r>
      <w:r>
        <w:rPr>
          <w:rFonts w:hint="eastAsia" w:ascii="楷体_GB2312" w:hAnsi="楷体_GB2312" w:eastAsia="楷体_GB2312" w:cs="楷体_GB2312"/>
          <w:sz w:val="28"/>
          <w:szCs w:val="28"/>
        </w:rPr>
        <w:t>XXX短窄</w:t>
      </w:r>
      <w:r>
        <w:rPr>
          <w:rFonts w:ascii="楷体_GB2312" w:hAnsi="楷体_GB2312" w:eastAsia="楷体_GB2312" w:cs="楷体_GB2312"/>
          <w:sz w:val="28"/>
          <w:szCs w:val="28"/>
        </w:rPr>
        <w:t>跑道、</w:t>
      </w:r>
      <w:r>
        <w:rPr>
          <w:rFonts w:hint="eastAsia" w:ascii="楷体_GB2312" w:hAnsi="楷体_GB2312" w:eastAsia="楷体_GB2312" w:cs="楷体_GB2312"/>
          <w:sz w:val="28"/>
          <w:szCs w:val="28"/>
        </w:rPr>
        <w:t>XXX超高障碍物</w:t>
      </w:r>
      <w:r>
        <w:rPr>
          <w:rFonts w:ascii="楷体_GB2312" w:hAnsi="楷体_GB2312" w:eastAsia="楷体_GB2312" w:cs="楷体_GB2312"/>
          <w:sz w:val="28"/>
          <w:szCs w:val="28"/>
        </w:rPr>
        <w:t>”等</w:t>
      </w:r>
      <w:r>
        <w:rPr>
          <w:rFonts w:hint="eastAsia" w:ascii="楷体_GB2312" w:hAnsi="楷体_GB2312" w:eastAsia="楷体_GB2312" w:cs="楷体_GB2312"/>
          <w:sz w:val="28"/>
          <w:szCs w:val="28"/>
        </w:rPr>
        <w:t>，避免与隐患或后果混淆</w:t>
      </w:r>
      <w:r>
        <w:rPr>
          <w:rFonts w:ascii="楷体_GB2312" w:hAnsi="楷体_GB2312" w:eastAsia="楷体_GB2312" w:cs="楷体_GB2312"/>
          <w:sz w:val="28"/>
          <w:szCs w:val="28"/>
        </w:rPr>
        <w:t>。</w:t>
      </w:r>
    </w:p>
    <w:p>
      <w:pPr>
        <w:adjustRightInd w:val="0"/>
        <w:snapToGrid w:val="0"/>
        <w:spacing w:after="62" w:afterLines="2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安全隐患</w:t>
      </w:r>
      <w:r>
        <w:rPr>
          <w:rFonts w:hint="eastAsia" w:ascii="仿宋_GB2312" w:hAnsi="仿宋_GB2312" w:eastAsia="仿宋_GB2312" w:cs="仿宋_GB2312"/>
          <w:sz w:val="32"/>
          <w:szCs w:val="32"/>
        </w:rPr>
        <w:t>：民航生产经营单位违反安全生产法律、法规、规章、标准、规程和安全生产管理制度的规定，或者因风险控制措施的失效或弱化可能导致事故、征候以及一般事件等后果的人的不安全行为、物的危险状态和管理上的缺陷。按照危害程度和整改难度，分为一般安全隐患和重大安全隐患。（样例见附录</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1：《安全生产法》及其他法律、法规、规章以及规范性文件中对安全生产事故隐患、生产安全事故隐患、事故隐患、问题隐患、风险隐患等均有提及，基于民航“安全隐患零容忍”的行业特点，本规定中延用“安全隐患”一词，与其他相关概念并无本质差别。</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w:t>
      </w:r>
      <w:r>
        <w:rPr>
          <w:rFonts w:ascii="楷体_GB2312" w:hAnsi="楷体_GB2312" w:eastAsia="楷体_GB2312" w:cs="楷体_GB2312"/>
          <w:sz w:val="28"/>
          <w:szCs w:val="28"/>
        </w:rPr>
        <w:t>2</w:t>
      </w:r>
      <w:r>
        <w:rPr>
          <w:rFonts w:hint="eastAsia" w:ascii="楷体_GB2312" w:hAnsi="楷体_GB2312" w:eastAsia="楷体_GB2312" w:cs="楷体_GB2312"/>
          <w:sz w:val="28"/>
          <w:szCs w:val="28"/>
        </w:rPr>
        <w:t>：安全隐患的定义主要源于国务院安全生产委员会办公室、原国家安全生产监督总局的定义，该定义沿用至今未发生变化，民航行业使用该定义，能够确保与《安全生产法》相关精神一致。</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w:t>
      </w:r>
      <w:r>
        <w:rPr>
          <w:rFonts w:ascii="楷体_GB2312" w:hAnsi="楷体_GB2312" w:eastAsia="楷体_GB2312" w:cs="楷体_GB2312"/>
          <w:sz w:val="28"/>
          <w:szCs w:val="28"/>
        </w:rPr>
        <w:t>3</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“隐患”</w:t>
      </w:r>
      <w:r>
        <w:rPr>
          <w:rFonts w:hint="eastAsia" w:ascii="楷体_GB2312" w:hAnsi="楷体_GB2312" w:eastAsia="楷体_GB2312" w:cs="楷体_GB2312"/>
          <w:sz w:val="28"/>
          <w:szCs w:val="28"/>
        </w:rPr>
        <w:t>通常</w:t>
      </w:r>
      <w:r>
        <w:rPr>
          <w:rFonts w:ascii="楷体_GB2312" w:hAnsi="楷体_GB2312" w:eastAsia="楷体_GB2312" w:cs="楷体_GB2312"/>
          <w:sz w:val="28"/>
          <w:szCs w:val="28"/>
        </w:rPr>
        <w:t>表现为“</w:t>
      </w:r>
      <w:r>
        <w:rPr>
          <w:rFonts w:hint="eastAsia" w:ascii="楷体_GB2312" w:hAnsi="楷体_GB2312" w:eastAsia="楷体_GB2312" w:cs="楷体_GB2312"/>
          <w:sz w:val="28"/>
          <w:szCs w:val="28"/>
        </w:rPr>
        <w:t>人的不安全</w:t>
      </w:r>
      <w:r>
        <w:rPr>
          <w:rFonts w:ascii="楷体_GB2312" w:hAnsi="楷体_GB2312" w:eastAsia="楷体_GB2312" w:cs="楷体_GB2312"/>
          <w:sz w:val="28"/>
          <w:szCs w:val="28"/>
        </w:rPr>
        <w:t>行为、</w:t>
      </w:r>
      <w:r>
        <w:rPr>
          <w:rFonts w:hint="eastAsia" w:ascii="楷体_GB2312" w:hAnsi="楷体_GB2312" w:eastAsia="楷体_GB2312" w:cs="楷体_GB2312"/>
          <w:sz w:val="28"/>
          <w:szCs w:val="28"/>
        </w:rPr>
        <w:t>物的不安全</w:t>
      </w:r>
      <w:r>
        <w:rPr>
          <w:rFonts w:ascii="楷体_GB2312" w:hAnsi="楷体_GB2312" w:eastAsia="楷体_GB2312" w:cs="楷体_GB2312"/>
          <w:sz w:val="28"/>
          <w:szCs w:val="28"/>
        </w:rPr>
        <w:t>状态</w:t>
      </w:r>
      <w:r>
        <w:rPr>
          <w:rFonts w:hint="eastAsia" w:ascii="楷体_GB2312" w:hAnsi="楷体_GB2312" w:eastAsia="楷体_GB2312" w:cs="楷体_GB2312"/>
          <w:sz w:val="28"/>
          <w:szCs w:val="28"/>
        </w:rPr>
        <w:t>、管理的</w:t>
      </w:r>
      <w:r>
        <w:rPr>
          <w:rFonts w:ascii="楷体_GB2312" w:hAnsi="楷体_GB2312" w:eastAsia="楷体_GB2312" w:cs="楷体_GB2312"/>
          <w:sz w:val="28"/>
          <w:szCs w:val="28"/>
        </w:rPr>
        <w:t>缺陷”</w:t>
      </w:r>
      <w:r>
        <w:rPr>
          <w:rFonts w:hint="eastAsia" w:ascii="楷体_GB2312" w:hAnsi="楷体_GB2312" w:eastAsia="楷体_GB2312" w:cs="楷体_GB2312"/>
          <w:sz w:val="28"/>
          <w:szCs w:val="28"/>
        </w:rPr>
        <w:t>，因此隐患的基本表述应尽量采取</w:t>
      </w:r>
      <w:r>
        <w:rPr>
          <w:rFonts w:ascii="楷体_GB2312" w:hAnsi="楷体_GB2312" w:eastAsia="楷体_GB2312" w:cs="楷体_GB2312"/>
          <w:sz w:val="28"/>
          <w:szCs w:val="28"/>
        </w:rPr>
        <w:t>“主语+行为、状态、缺陷”的组合，如“人员违反 xxx、车辆阻挡 xxx、手册缺少 xxx”等</w:t>
      </w:r>
      <w:r>
        <w:rPr>
          <w:rFonts w:hint="eastAsia" w:ascii="楷体_GB2312" w:hAnsi="楷体_GB2312" w:eastAsia="楷体_GB2312" w:cs="楷体_GB2312"/>
          <w:sz w:val="28"/>
          <w:szCs w:val="28"/>
        </w:rPr>
        <w:t>，避免与危险源混淆</w:t>
      </w:r>
      <w:r>
        <w:rPr>
          <w:rFonts w:ascii="楷体_GB2312" w:hAnsi="楷体_GB2312" w:eastAsia="楷体_GB2312" w:cs="楷体_GB2312"/>
          <w:sz w:val="28"/>
          <w:szCs w:val="28"/>
        </w:rPr>
        <w:t>。</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注4：民航生产经营单位可以在本管理规定对安全隐患分类的基础上，根据管理需要自行进行细化。</w:t>
      </w:r>
    </w:p>
    <w:p>
      <w:pPr>
        <w:adjustRightInd w:val="0"/>
        <w:snapToGrid w:val="0"/>
        <w:spacing w:after="62" w:afterLines="2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重大危险源：</w:t>
      </w:r>
      <w:r>
        <w:rPr>
          <w:rFonts w:hint="eastAsia" w:ascii="仿宋_GB2312" w:hAnsi="仿宋_GB2312" w:eastAsia="仿宋_GB2312" w:cs="仿宋_GB2312"/>
          <w:sz w:val="32"/>
          <w:szCs w:val="32"/>
        </w:rPr>
        <w:t>长期地或者临时地生产、搬运、使用或者储存危险物品，且危险物品数量等于或者超过临界量的单元（包括场所和设施）。危险物品，是指易燃易爆物品、危险化学品、放射性物品等能够危及人身安全和财产安全的物品。</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1：引用《安全生产法》重大危险源定义的原因——《安全生产法》已经明确界定了“重大危险源”的定义，根据《安全生产法》第二条的适用范围，其中包含了民航业，且明确民航行政机关无权使用法律或者行政法规以外的部门规章、规范性文件来变更《安全生产法》中既定的定义。因此即使本咨询通告中引用此定义，相关单位也应当遵守该定义实施相关安全生产和管理工作。</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注2：行业中关于修改或扩大重大危险源的定义的思路，会加重民航生产经营单位向地方政府及相关部门多头报告的任务，以及接受多头监管的负担，不符合民航实际。</w:t>
      </w:r>
    </w:p>
    <w:p>
      <w:pPr>
        <w:adjustRightInd w:val="0"/>
        <w:snapToGrid w:val="0"/>
        <w:spacing w:after="62" w:afterLines="2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重大安全隐患：</w:t>
      </w:r>
      <w:bookmarkStart w:id="14" w:name="_Hlk107818541"/>
      <w:r>
        <w:rPr>
          <w:rFonts w:hint="eastAsia" w:ascii="仿宋_GB2312" w:hAnsi="仿宋_GB2312" w:eastAsia="仿宋_GB2312" w:cs="仿宋_GB2312"/>
          <w:sz w:val="32"/>
          <w:szCs w:val="32"/>
        </w:rPr>
        <w:t>危害和整改难度较大</w:t>
      </w:r>
      <w:bookmarkEnd w:id="14"/>
      <w:r>
        <w:rPr>
          <w:rFonts w:hint="eastAsia" w:ascii="仿宋_GB2312" w:hAnsi="仿宋_GB2312" w:eastAsia="仿宋_GB2312" w:cs="仿宋_GB2312"/>
          <w:sz w:val="32"/>
          <w:szCs w:val="32"/>
        </w:rPr>
        <w:t>，应当全部或者局部停产停业，并经过一定时间整改治理方能排除的安全隐患，或者因外部因素影响致使民航生产经营单位自身难以排除的安全隐患。</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注：重大安全隐患的定义主要源于国务院安全生产委员会办公室、原国家安全生产监督总局的定义，该定义沿用至今未发生变化。民航行业使用该定义，能够确保与《安全生产法》相关精神一致。</w:t>
      </w:r>
    </w:p>
    <w:p>
      <w:pPr>
        <w:adjustRightInd w:val="0"/>
        <w:snapToGrid w:val="0"/>
        <w:spacing w:after="62" w:afterLines="20"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安全风险：</w:t>
      </w:r>
      <w:r>
        <w:rPr>
          <w:rFonts w:hint="eastAsia" w:ascii="仿宋_GB2312" w:hAnsi="仿宋_GB2312" w:eastAsia="仿宋_GB2312" w:cs="仿宋_GB2312"/>
          <w:color w:val="000000"/>
          <w:sz w:val="32"/>
          <w:szCs w:val="32"/>
        </w:rPr>
        <w:t>危险源后果或结果的可能性和严重程度。根据容忍度不同，分为可接受、缓解后可接受、不可接受三级。</w:t>
      </w:r>
    </w:p>
    <w:p>
      <w:pPr>
        <w:adjustRightInd w:val="0"/>
        <w:snapToGrid w:val="0"/>
        <w:spacing w:after="62" w:afterLines="20" w:line="56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注</w:t>
      </w:r>
      <w:r>
        <w:rPr>
          <w:rFonts w:hint="eastAsia" w:ascii="楷体_GB2312" w:hAnsi="楷体_GB2312" w:eastAsia="楷体_GB2312" w:cs="楷体_GB2312"/>
          <w:sz w:val="28"/>
          <w:szCs w:val="28"/>
          <w:lang w:val="en-US" w:eastAsia="zh-CN"/>
        </w:rPr>
        <w:t>1：亦有翻译为可接受、可容忍、不可容忍，对应关系不变。</w:t>
      </w:r>
    </w:p>
    <w:p>
      <w:pPr>
        <w:adjustRightInd w:val="0"/>
        <w:snapToGrid w:val="0"/>
        <w:spacing w:after="62" w:afterLines="20" w:line="560" w:lineRule="exact"/>
        <w:ind w:firstLine="560" w:firstLineChars="200"/>
        <w:rPr>
          <w:rFonts w:ascii="仿宋_GB2312" w:hAnsi="仿宋_GB2312" w:eastAsia="仿宋_GB2312" w:cs="仿宋_GB2312"/>
          <w:sz w:val="32"/>
          <w:szCs w:val="32"/>
        </w:rPr>
      </w:pPr>
      <w:r>
        <w:rPr>
          <w:rFonts w:hint="eastAsia" w:ascii="楷体_GB2312" w:hAnsi="楷体_GB2312" w:eastAsia="楷体_GB2312" w:cs="楷体_GB2312"/>
          <w:sz w:val="28"/>
          <w:szCs w:val="28"/>
          <w:lang w:val="en-US" w:eastAsia="zh-CN"/>
        </w:rPr>
        <w:t>注2</w:t>
      </w:r>
      <w:r>
        <w:rPr>
          <w:rFonts w:hint="eastAsia" w:ascii="楷体_GB2312" w:hAnsi="楷体_GB2312" w:eastAsia="楷体_GB2312" w:cs="楷体_GB2312"/>
          <w:sz w:val="28"/>
          <w:szCs w:val="28"/>
        </w:rPr>
        <w:t>：民航的风险分级沿用国际民用航空组织的分级标准，通常分为三个等级，与国家安全生产领域“红橙黄蓝”四个风险等级对应关系为：民航的不可接受风险对应国家安全生产领域的重大风险（红）和较大风险（橙）；民航的缓解后可接受风险对应国家安全生产领域的一般风险（黄）；民航的可接受风险对应国家安全生产领域的低风险（蓝）。</w:t>
      </w:r>
    </w:p>
    <w:p>
      <w:pPr>
        <w:adjustRightInd w:val="0"/>
        <w:snapToGrid w:val="0"/>
        <w:spacing w:after="62" w:afterLines="20"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重大风险：</w:t>
      </w:r>
      <w:r>
        <w:rPr>
          <w:rFonts w:hint="eastAsia" w:ascii="仿宋_GB2312" w:hAnsi="仿宋_GB2312" w:eastAsia="仿宋_GB2312" w:cs="仿宋_GB2312"/>
          <w:color w:val="000000"/>
          <w:sz w:val="32"/>
          <w:szCs w:val="32"/>
        </w:rPr>
        <w:t>风险分级评价中被列为不可接受的风险，或被列为缓解后可接受但相关控制措施多次</w:t>
      </w:r>
      <w:r>
        <w:rPr>
          <w:rFonts w:hint="eastAsia" w:ascii="仿宋_GB2312" w:hAnsi="仿宋_GB2312" w:eastAsia="仿宋_GB2312" w:cs="仿宋_GB2312"/>
          <w:color w:val="000000"/>
          <w:sz w:val="32"/>
          <w:szCs w:val="32"/>
          <w:lang w:val="en-US" w:eastAsia="zh-CN"/>
        </w:rPr>
        <w:t>出现</w:t>
      </w:r>
      <w:r>
        <w:rPr>
          <w:rFonts w:hint="eastAsia" w:ascii="仿宋_GB2312" w:hAnsi="仿宋_GB2312" w:eastAsia="仿宋_GB2312" w:cs="仿宋_GB2312"/>
          <w:color w:val="000000"/>
          <w:sz w:val="32"/>
          <w:szCs w:val="32"/>
        </w:rPr>
        <w:t>失效的风险。</w:t>
      </w:r>
    </w:p>
    <w:p>
      <w:pPr>
        <w:adjustRightInd w:val="0"/>
        <w:snapToGrid w:val="0"/>
        <w:spacing w:after="62" w:afterLines="20"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剩余风险：</w:t>
      </w:r>
      <w:r>
        <w:rPr>
          <w:rFonts w:hint="eastAsia" w:ascii="仿宋_GB2312" w:hAnsi="仿宋_GB2312" w:eastAsia="仿宋_GB2312" w:cs="仿宋_GB2312"/>
          <w:color w:val="000000"/>
          <w:sz w:val="32"/>
          <w:szCs w:val="32"/>
        </w:rPr>
        <w:t>在实施风险控制措施后仍然存在的安全风险。</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注：剩余风险可能包括未识别的风险，也可以认为是一项初始的安全风险在拟采取的风险控制措施后“保留的风险”。实际安全管理中，通常是后者更具现实意义。</w:t>
      </w:r>
    </w:p>
    <w:p>
      <w:pPr>
        <w:adjustRightInd w:val="0"/>
        <w:snapToGrid w:val="0"/>
        <w:spacing w:line="360" w:lineRule="auto"/>
        <w:jc w:val="center"/>
        <w:rPr>
          <w:sz w:val="28"/>
          <w:szCs w:val="28"/>
        </w:rPr>
      </w:pPr>
      <w:r>
        <w:drawing>
          <wp:inline distT="0" distB="0" distL="0" distR="0">
            <wp:extent cx="5274310" cy="2952750"/>
            <wp:effectExtent l="0" t="0" r="2540" b="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0" cstate="print"/>
                    <a:srcRect/>
                    <a:stretch>
                      <a:fillRect/>
                    </a:stretch>
                  </pic:blipFill>
                  <pic:spPr>
                    <a:xfrm>
                      <a:off x="0" y="0"/>
                      <a:ext cx="5274310" cy="2952750"/>
                    </a:xfrm>
                    <a:prstGeom prst="rect">
                      <a:avLst/>
                    </a:prstGeom>
                  </pic:spPr>
                </pic:pic>
              </a:graphicData>
            </a:graphic>
          </wp:inline>
        </w:drawing>
      </w:r>
    </w:p>
    <w:p>
      <w:pPr>
        <w:adjustRightInd w:val="0"/>
        <w:snapToGrid w:val="0"/>
        <w:spacing w:line="360" w:lineRule="auto"/>
        <w:jc w:val="center"/>
        <w:rPr>
          <w:sz w:val="24"/>
          <w:szCs w:val="24"/>
        </w:rPr>
      </w:pPr>
      <w:r>
        <w:rPr>
          <w:rFonts w:hint="eastAsia" w:ascii="楷体_GB2312" w:hAnsi="楷体_GB2312" w:eastAsia="楷体_GB2312" w:cs="楷体_GB2312"/>
          <w:b/>
          <w:bCs/>
          <w:sz w:val="24"/>
          <w:szCs w:val="24"/>
        </w:rPr>
        <w:t>图</w:t>
      </w:r>
      <w:r>
        <w:rPr>
          <w:rFonts w:ascii="楷体_GB2312" w:hAnsi="楷体_GB2312" w:eastAsia="楷体_GB2312" w:cs="楷体_GB2312"/>
          <w:b/>
          <w:bCs/>
          <w:sz w:val="24"/>
          <w:szCs w:val="24"/>
        </w:rPr>
        <w:t xml:space="preserve">1 </w:t>
      </w:r>
      <w:r>
        <w:rPr>
          <w:rFonts w:hint="eastAsia" w:ascii="楷体_GB2312" w:hAnsi="楷体_GB2312" w:eastAsia="楷体_GB2312" w:cs="楷体_GB2312"/>
          <w:b/>
          <w:bCs/>
          <w:sz w:val="24"/>
          <w:szCs w:val="24"/>
        </w:rPr>
        <w:t>双重预防机制相关基本概念关系示意</w:t>
      </w:r>
    </w:p>
    <w:p>
      <w:pPr>
        <w:adjustRightInd w:val="0"/>
        <w:snapToGrid w:val="0"/>
        <w:spacing w:before="156" w:beforeLines="50" w:after="62" w:afterLines="20" w:line="560" w:lineRule="exact"/>
        <w:jc w:val="left"/>
        <w:outlineLvl w:val="0"/>
        <w:rPr>
          <w:rFonts w:ascii="黑体" w:hAnsi="黑体" w:eastAsia="黑体"/>
          <w:sz w:val="32"/>
          <w:szCs w:val="32"/>
        </w:rPr>
      </w:pPr>
      <w:bookmarkStart w:id="15" w:name="_Toc109054405"/>
      <w:r>
        <w:rPr>
          <w:rFonts w:ascii="黑体" w:hAnsi="黑体" w:eastAsia="黑体"/>
          <w:sz w:val="32"/>
          <w:szCs w:val="32"/>
        </w:rPr>
        <w:t>4.</w:t>
      </w:r>
      <w:r>
        <w:rPr>
          <w:rFonts w:hint="eastAsia" w:ascii="黑体" w:hAnsi="黑体" w:eastAsia="黑体"/>
          <w:sz w:val="32"/>
          <w:szCs w:val="32"/>
        </w:rPr>
        <w:t>参考资料</w:t>
      </w:r>
      <w:bookmarkEnd w:id="15"/>
    </w:p>
    <w:p>
      <w:pPr>
        <w:numPr>
          <w:ilvl w:val="255"/>
          <w:numId w:val="0"/>
        </w:num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）《中华人民共和国安全生产法》，</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p>
    <w:p>
      <w:pPr>
        <w:numPr>
          <w:ilvl w:val="255"/>
          <w:numId w:val="0"/>
        </w:num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（2）附件</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《安全管理》第二版，国际民航组织，</w:t>
      </w:r>
      <w:r>
        <w:rPr>
          <w:rFonts w:ascii="仿宋_GB2312" w:hAnsi="仿宋_GB2312" w:eastAsia="仿宋_GB2312" w:cs="仿宋_GB2312"/>
          <w:sz w:val="32"/>
          <w:szCs w:val="32"/>
        </w:rPr>
        <w:t>2016年</w:t>
      </w:r>
      <w:r>
        <w:rPr>
          <w:rFonts w:hint="eastAsia" w:ascii="仿宋_GB2312" w:hAnsi="仿宋_GB2312" w:eastAsia="仿宋_GB2312" w:cs="仿宋_GB2312"/>
          <w:sz w:val="32"/>
          <w:szCs w:val="32"/>
        </w:rPr>
        <w:t>。</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Doc9859</w:t>
      </w:r>
      <w:r>
        <w:rPr>
          <w:rFonts w:hint="eastAsia" w:ascii="仿宋_GB2312" w:hAnsi="仿宋_GB2312" w:eastAsia="仿宋_GB2312" w:cs="仿宋_GB2312"/>
          <w:sz w:val="32"/>
          <w:szCs w:val="32"/>
        </w:rPr>
        <w:t>《安全管理手册》第四版，国际民航组织，</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（4）《民用航空安全管理规定》（</w:t>
      </w:r>
      <w:r>
        <w:rPr>
          <w:rFonts w:ascii="仿宋_GB2312" w:hAnsi="仿宋_GB2312" w:eastAsia="仿宋_GB2312" w:cs="仿宋_GB2312"/>
          <w:sz w:val="32"/>
          <w:szCs w:val="32"/>
        </w:rPr>
        <w:t>CCAR-398</w:t>
      </w:r>
      <w:r>
        <w:rPr>
          <w:rFonts w:hint="eastAsia" w:ascii="仿宋_GB2312" w:hAnsi="仿宋_GB2312" w:eastAsia="仿宋_GB2312" w:cs="仿宋_GB2312"/>
          <w:sz w:val="32"/>
          <w:szCs w:val="32"/>
        </w:rPr>
        <w:t>），交通运输部，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）《安全生产事故隐患排查治理暂行规定》，国家安全生产监督管理总局，2007年。</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）《安全生产事故隐患排查治理体系建设实施指南》，国务院</w:t>
      </w:r>
      <w:r>
        <w:rPr>
          <w:rFonts w:ascii="仿宋_GB2312" w:hAnsi="仿宋_GB2312" w:eastAsia="仿宋_GB2312" w:cs="仿宋_GB2312"/>
          <w:sz w:val="32"/>
          <w:szCs w:val="32"/>
        </w:rPr>
        <w:t>安委</w:t>
      </w:r>
      <w:r>
        <w:rPr>
          <w:rFonts w:hint="eastAsia" w:ascii="仿宋_GB2312" w:hAnsi="仿宋_GB2312" w:eastAsia="仿宋_GB2312" w:cs="仿宋_GB2312"/>
          <w:sz w:val="32"/>
          <w:szCs w:val="32"/>
        </w:rPr>
        <w:t>会办公室，2</w:t>
      </w:r>
      <w:r>
        <w:rPr>
          <w:rFonts w:ascii="仿宋_GB2312" w:hAnsi="仿宋_GB2312" w:eastAsia="仿宋_GB2312" w:cs="仿宋_GB2312"/>
          <w:sz w:val="32"/>
          <w:szCs w:val="32"/>
        </w:rPr>
        <w:t>012</w:t>
      </w:r>
      <w:r>
        <w:rPr>
          <w:rFonts w:hint="eastAsia" w:ascii="仿宋_GB2312" w:hAnsi="仿宋_GB2312" w:eastAsia="仿宋_GB2312" w:cs="仿宋_GB2312"/>
          <w:sz w:val="32"/>
          <w:szCs w:val="32"/>
        </w:rPr>
        <w:t>年。</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）《关于实施遏制重特大事故工作指南构建双重预防机制的意见》，国务院安委会办公室，2016年。</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ISO Guide73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2009 </w:t>
      </w:r>
      <w:r>
        <w:rPr>
          <w:rFonts w:hint="eastAsia" w:ascii="仿宋_GB2312" w:hAnsi="仿宋_GB2312" w:eastAsia="仿宋_GB2312" w:cs="仿宋_GB2312"/>
          <w:sz w:val="32"/>
          <w:szCs w:val="32"/>
        </w:rPr>
        <w:t>《风险管理——术语》。</w:t>
      </w:r>
    </w:p>
    <w:p>
      <w:pPr>
        <w:adjustRightInd w:val="0"/>
        <w:snapToGrid w:val="0"/>
        <w:spacing w:before="156" w:beforeLines="50" w:after="62" w:afterLines="20" w:line="560" w:lineRule="exact"/>
        <w:jc w:val="left"/>
        <w:outlineLvl w:val="0"/>
        <w:rPr>
          <w:rFonts w:ascii="黑体" w:hAnsi="黑体" w:eastAsia="黑体"/>
          <w:sz w:val="32"/>
          <w:szCs w:val="32"/>
        </w:rPr>
      </w:pPr>
      <w:bookmarkStart w:id="16" w:name="_Toc109054406"/>
      <w:r>
        <w:rPr>
          <w:rFonts w:ascii="黑体" w:hAnsi="黑体" w:eastAsia="黑体"/>
          <w:sz w:val="32"/>
          <w:szCs w:val="32"/>
        </w:rPr>
        <w:t>5.</w:t>
      </w:r>
      <w:r>
        <w:rPr>
          <w:rFonts w:hint="eastAsia" w:ascii="黑体" w:hAnsi="黑体" w:eastAsia="黑体"/>
          <w:sz w:val="32"/>
          <w:szCs w:val="32"/>
        </w:rPr>
        <w:t>一般要求</w:t>
      </w:r>
      <w:bookmarkEnd w:id="16"/>
    </w:p>
    <w:p>
      <w:pPr>
        <w:adjustRightInd w:val="0"/>
        <w:snapToGrid w:val="0"/>
        <w:spacing w:after="62" w:afterLines="20" w:line="560" w:lineRule="exact"/>
        <w:outlineLvl w:val="1"/>
        <w:rPr>
          <w:sz w:val="32"/>
          <w:szCs w:val="32"/>
        </w:rPr>
      </w:pPr>
      <w:bookmarkStart w:id="17" w:name="_Toc109054407"/>
      <w:r>
        <w:rPr>
          <w:b/>
          <w:bCs/>
          <w:sz w:val="32"/>
          <w:szCs w:val="32"/>
        </w:rPr>
        <w:t xml:space="preserve">5.1 </w:t>
      </w:r>
      <w:r>
        <w:rPr>
          <w:rFonts w:hint="eastAsia"/>
          <w:b/>
          <w:bCs/>
          <w:sz w:val="32"/>
          <w:szCs w:val="32"/>
        </w:rPr>
        <w:t>工作原则</w:t>
      </w:r>
      <w:bookmarkEnd w:id="17"/>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安全风险分级管控和隐患排查治理工作坚持依法合规、务实高效、闭环管理的原则，围绕事故预防，推动从源头上防范风险、从根本上消除隐患。双重预防机制是民航安全管理体系的核心内容，建设和实施过程中应当遵循有机融合、一体化运行的原则。</w:t>
      </w:r>
    </w:p>
    <w:p>
      <w:pPr>
        <w:adjustRightInd w:val="0"/>
        <w:snapToGrid w:val="0"/>
        <w:spacing w:line="360" w:lineRule="auto"/>
        <w:rPr>
          <w:rFonts w:ascii="楷体_GB2312" w:hAnsi="楷体_GB2312" w:eastAsia="楷体_GB2312" w:cs="楷体_GB2312"/>
          <w:b/>
          <w:bCs/>
          <w:sz w:val="24"/>
          <w:szCs w:val="24"/>
          <w:highlight w:val="yellow"/>
        </w:rPr>
      </w:pPr>
      <w:r>
        <w:drawing>
          <wp:inline distT="0" distB="0" distL="0" distR="0">
            <wp:extent cx="5274310" cy="3225165"/>
            <wp:effectExtent l="0" t="0" r="2540" b="0"/>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11" cstate="print"/>
                    <a:srcRect/>
                    <a:stretch>
                      <a:fillRect/>
                    </a:stretch>
                  </pic:blipFill>
                  <pic:spPr>
                    <a:xfrm>
                      <a:off x="0" y="0"/>
                      <a:ext cx="5274310" cy="3225165"/>
                    </a:xfrm>
                    <a:prstGeom prst="rect">
                      <a:avLst/>
                    </a:prstGeom>
                  </pic:spPr>
                </pic:pic>
              </a:graphicData>
            </a:graphic>
          </wp:inline>
        </w:drawing>
      </w:r>
    </w:p>
    <w:p>
      <w:pPr>
        <w:adjustRightInd w:val="0"/>
        <w:snapToGrid w:val="0"/>
        <w:spacing w:line="360" w:lineRule="auto"/>
        <w:jc w:val="center"/>
        <w:rPr>
          <w:rFonts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rPr>
        <w:t>图</w:t>
      </w:r>
      <w:r>
        <w:rPr>
          <w:rFonts w:ascii="楷体_GB2312" w:hAnsi="楷体_GB2312" w:eastAsia="楷体_GB2312" w:cs="楷体_GB2312"/>
          <w:b/>
          <w:bCs/>
          <w:sz w:val="24"/>
          <w:szCs w:val="24"/>
        </w:rPr>
        <w:t xml:space="preserve">2 </w:t>
      </w:r>
      <w:r>
        <w:rPr>
          <w:rFonts w:hint="eastAsia" w:ascii="楷体_GB2312" w:hAnsi="楷体_GB2312" w:eastAsia="楷体_GB2312" w:cs="楷体_GB2312"/>
          <w:b/>
          <w:bCs/>
          <w:sz w:val="24"/>
          <w:szCs w:val="24"/>
        </w:rPr>
        <w:t>民航</w:t>
      </w:r>
      <w:r>
        <w:rPr>
          <w:rFonts w:ascii="楷体_GB2312" w:hAnsi="楷体_GB2312" w:eastAsia="楷体_GB2312" w:cs="楷体_GB2312"/>
          <w:b/>
          <w:bCs/>
          <w:sz w:val="24"/>
          <w:szCs w:val="24"/>
        </w:rPr>
        <w:t>SMS相关要素与双重预防机制融合流程</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1：双重预防机制的第一重预防机制——安全风险分级管控，对应民航SMS的第二大支柱——安全风险管理，本质相同。双重预防机制的第二重预防机制——安全隐患排查治理，属于民航安全管理体系的第三大支柱——安全保证的一部分，安全隐患排查同时也是获取安全绩效监测数据的一种方式，并且可能发现新的危险源。</w:t>
      </w:r>
    </w:p>
    <w:p>
      <w:pPr>
        <w:adjustRightInd w:val="0"/>
        <w:snapToGrid w:val="0"/>
        <w:spacing w:after="62" w:afterLines="20" w:line="560" w:lineRule="exact"/>
        <w:ind w:firstLine="560" w:firstLineChars="200"/>
        <w:rPr>
          <w:rFonts w:ascii="楷体_GB2312" w:hAnsi="楷体_GB2312" w:eastAsia="楷体_GB2312" w:cs="楷体_GB2312"/>
          <w:b/>
          <w:bCs/>
          <w:sz w:val="24"/>
          <w:szCs w:val="24"/>
        </w:rPr>
      </w:pPr>
      <w:r>
        <w:rPr>
          <w:rFonts w:hint="eastAsia" w:ascii="楷体_GB2312" w:hAnsi="楷体_GB2312" w:eastAsia="楷体_GB2312" w:cs="楷体_GB2312"/>
          <w:sz w:val="28"/>
          <w:szCs w:val="28"/>
        </w:rPr>
        <w:t>注</w:t>
      </w:r>
      <w:r>
        <w:rPr>
          <w:rFonts w:ascii="楷体_GB2312" w:hAnsi="楷体_GB2312" w:eastAsia="楷体_GB2312" w:cs="楷体_GB2312"/>
          <w:sz w:val="28"/>
          <w:szCs w:val="28"/>
        </w:rPr>
        <w:t>2</w:t>
      </w:r>
      <w:r>
        <w:rPr>
          <w:rFonts w:hint="eastAsia" w:ascii="楷体_GB2312" w:hAnsi="楷体_GB2312" w:eastAsia="楷体_GB2312" w:cs="楷体_GB2312"/>
          <w:sz w:val="28"/>
          <w:szCs w:val="28"/>
        </w:rPr>
        <w:t>：，图</w:t>
      </w:r>
      <w:r>
        <w:rPr>
          <w:rFonts w:ascii="楷体_GB2312" w:hAnsi="楷体_GB2312" w:eastAsia="楷体_GB2312" w:cs="楷体_GB2312"/>
          <w:sz w:val="28"/>
          <w:szCs w:val="28"/>
        </w:rPr>
        <w:t>2</w:t>
      </w:r>
      <w:r>
        <w:rPr>
          <w:rFonts w:hint="eastAsia" w:ascii="楷体_GB2312" w:hAnsi="楷体_GB2312" w:eastAsia="楷体_GB2312" w:cs="楷体_GB2312"/>
          <w:sz w:val="28"/>
          <w:szCs w:val="28"/>
        </w:rPr>
        <w:t>进行了适当简化以便于理解基本逻辑和流程，省略安全绩效监视与测量、数据分析、系统评价等安全管理有关内容，各民航生产经营单位在双重预防机制建设过程中可结合本单位实际，参考其他规范性文件进行补充完善。</w:t>
      </w:r>
    </w:p>
    <w:p>
      <w:pPr>
        <w:adjustRightInd w:val="0"/>
        <w:snapToGrid w:val="0"/>
        <w:spacing w:after="62" w:afterLines="20" w:line="560" w:lineRule="exact"/>
        <w:outlineLvl w:val="1"/>
        <w:rPr>
          <w:b/>
          <w:bCs/>
          <w:sz w:val="32"/>
          <w:szCs w:val="32"/>
        </w:rPr>
      </w:pPr>
      <w:bookmarkStart w:id="18" w:name="_Toc109054408"/>
      <w:r>
        <w:rPr>
          <w:b/>
          <w:bCs/>
          <w:sz w:val="32"/>
          <w:szCs w:val="32"/>
        </w:rPr>
        <w:t xml:space="preserve">5.2 </w:t>
      </w:r>
      <w:r>
        <w:rPr>
          <w:rFonts w:hint="eastAsia"/>
          <w:b/>
          <w:bCs/>
          <w:sz w:val="32"/>
          <w:szCs w:val="32"/>
        </w:rPr>
        <w:t>责任主体</w:t>
      </w:r>
      <w:bookmarkEnd w:id="18"/>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作为安全生产的责任主体，应当构建安全风险分级管控和隐患排查治理双重预防机制，有效消除隐患、防范化解风险，并向从业人员如实告知作业场所和工作岗位存在的危险因素、防范措施及事故应急措施。</w:t>
      </w:r>
    </w:p>
    <w:p>
      <w:pPr>
        <w:adjustRightInd w:val="0"/>
        <w:snapToGrid w:val="0"/>
        <w:spacing w:after="62" w:afterLines="20" w:line="560" w:lineRule="exact"/>
        <w:outlineLvl w:val="1"/>
        <w:rPr>
          <w:b/>
          <w:bCs/>
          <w:sz w:val="32"/>
          <w:szCs w:val="32"/>
        </w:rPr>
      </w:pPr>
      <w:bookmarkStart w:id="19" w:name="_Toc109054409"/>
      <w:r>
        <w:rPr>
          <w:b/>
          <w:bCs/>
          <w:sz w:val="32"/>
          <w:szCs w:val="32"/>
        </w:rPr>
        <w:t xml:space="preserve">5.3 </w:t>
      </w:r>
      <w:r>
        <w:rPr>
          <w:rFonts w:hint="eastAsia"/>
          <w:b/>
          <w:bCs/>
          <w:sz w:val="32"/>
          <w:szCs w:val="32"/>
        </w:rPr>
        <w:t>监管主体</w:t>
      </w:r>
      <w:bookmarkEnd w:id="19"/>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民用航空局（以下简称民航局）负责协调、指导行业范围内的民航双重预防机制的建立和落实。中国民用航空地区管理局（以下简称地区管理局）和中国民用航空安全监督管理局（以下简称监管局）负责对辖区内民航生产经营单位双重预防机制的建立和落实情况实施监管。</w:t>
      </w:r>
    </w:p>
    <w:p>
      <w:pPr>
        <w:adjustRightInd w:val="0"/>
        <w:snapToGrid w:val="0"/>
        <w:spacing w:before="156" w:beforeLines="50" w:after="62" w:afterLines="20" w:line="560" w:lineRule="exact"/>
        <w:jc w:val="left"/>
        <w:outlineLvl w:val="0"/>
        <w:rPr>
          <w:rFonts w:ascii="黑体" w:hAnsi="黑体" w:eastAsia="黑体"/>
          <w:sz w:val="32"/>
          <w:szCs w:val="32"/>
        </w:rPr>
      </w:pPr>
      <w:bookmarkStart w:id="20" w:name="_Toc109054410"/>
      <w:r>
        <w:rPr>
          <w:rFonts w:ascii="黑体" w:hAnsi="黑体" w:eastAsia="黑体"/>
          <w:sz w:val="32"/>
          <w:szCs w:val="32"/>
        </w:rPr>
        <w:t>6.</w:t>
      </w:r>
      <w:r>
        <w:rPr>
          <w:rFonts w:hint="eastAsia" w:ascii="黑体" w:hAnsi="黑体" w:eastAsia="黑体"/>
          <w:sz w:val="32"/>
          <w:szCs w:val="32"/>
        </w:rPr>
        <w:t>民航生产经营单位职责</w:t>
      </w:r>
      <w:bookmarkEnd w:id="20"/>
    </w:p>
    <w:p>
      <w:pPr>
        <w:adjustRightInd w:val="0"/>
        <w:snapToGrid w:val="0"/>
        <w:spacing w:after="62" w:afterLines="20" w:line="560" w:lineRule="exact"/>
        <w:outlineLvl w:val="1"/>
        <w:rPr>
          <w:b/>
          <w:bCs/>
          <w:sz w:val="32"/>
          <w:szCs w:val="32"/>
        </w:rPr>
      </w:pPr>
      <w:bookmarkStart w:id="21" w:name="_Toc109054411"/>
      <w:r>
        <w:rPr>
          <w:b/>
          <w:bCs/>
          <w:sz w:val="32"/>
          <w:szCs w:val="32"/>
        </w:rPr>
        <w:t xml:space="preserve">6.1 </w:t>
      </w:r>
      <w:r>
        <w:rPr>
          <w:rFonts w:hint="eastAsia"/>
          <w:b/>
          <w:bCs/>
          <w:sz w:val="32"/>
          <w:szCs w:val="32"/>
        </w:rPr>
        <w:t>负责人的职责</w:t>
      </w:r>
      <w:bookmarkEnd w:id="21"/>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（1）民航生产经营单位的主要负责人是本单位安全生产第一责任人，对本单位安全生产工作全面负责，在</w:t>
      </w:r>
      <w:r>
        <w:rPr>
          <w:rFonts w:ascii="仿宋_GB2312" w:hAnsi="仿宋_GB2312" w:eastAsia="仿宋_GB2312" w:cs="仿宋_GB2312"/>
          <w:sz w:val="32"/>
          <w:szCs w:val="32"/>
        </w:rPr>
        <w:t>SMS框架内组织建立并落实双重预防机制，督促、检查本单位的安全生产工作，及时消除</w:t>
      </w:r>
      <w:r>
        <w:rPr>
          <w:rFonts w:hint="eastAsia" w:ascii="仿宋_GB2312" w:hAnsi="仿宋_GB2312" w:eastAsia="仿宋_GB2312" w:cs="仿宋_GB2312"/>
          <w:sz w:val="32"/>
          <w:szCs w:val="32"/>
        </w:rPr>
        <w:t>安全隐患。</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（2）其他负责人对职责范围内的安全风险分级管控和隐患排查治理工作负责。</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注：生产经营单位的主要负责人因生产经营单位的法律组织形式不同而有所不同。根据《关于进一步强化安全生产责任落实</w:t>
      </w:r>
      <w:r>
        <w:rPr>
          <w:rFonts w:ascii="楷体_GB2312" w:hAnsi="楷体_GB2312" w:eastAsia="楷体_GB2312" w:cs="楷体_GB2312"/>
          <w:sz w:val="28"/>
          <w:szCs w:val="28"/>
        </w:rPr>
        <w:t xml:space="preserve"> 坚决</w:t>
      </w:r>
      <w:r>
        <w:rPr>
          <w:rFonts w:hint="eastAsia" w:ascii="楷体_GB2312" w:hAnsi="楷体_GB2312" w:eastAsia="楷体_GB2312" w:cs="楷体_GB2312"/>
          <w:sz w:val="28"/>
          <w:szCs w:val="28"/>
        </w:rPr>
        <w:t>防范遏制重特大事故的若干措施》（简称“十五条硬措施”），主要负责人通常指生产经营单位法定代表人、实际控制人、实际负责人。</w:t>
      </w:r>
    </w:p>
    <w:p>
      <w:pPr>
        <w:adjustRightInd w:val="0"/>
        <w:snapToGrid w:val="0"/>
        <w:spacing w:after="62" w:afterLines="20" w:line="560" w:lineRule="exact"/>
        <w:outlineLvl w:val="1"/>
        <w:rPr>
          <w:b/>
          <w:bCs/>
          <w:sz w:val="32"/>
          <w:szCs w:val="32"/>
        </w:rPr>
      </w:pPr>
      <w:bookmarkStart w:id="22" w:name="_Toc109054412"/>
      <w:r>
        <w:rPr>
          <w:b/>
          <w:bCs/>
          <w:sz w:val="32"/>
          <w:szCs w:val="32"/>
        </w:rPr>
        <w:t xml:space="preserve">6.2 </w:t>
      </w:r>
      <w:r>
        <w:rPr>
          <w:rFonts w:hint="eastAsia"/>
          <w:b/>
          <w:bCs/>
          <w:sz w:val="32"/>
          <w:szCs w:val="32"/>
        </w:rPr>
        <w:t>部门的职责</w:t>
      </w:r>
      <w:bookmarkEnd w:id="22"/>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全管理部门负责组织开展危险源识别、风险分析和评价分级，拟订或组织其它业务部门拟订相关风险控制措施，督促落实本单位重大危险源、重大风险的安全管理措施；检查本单位的安全生产状况，及时排查安全隐患，提出改进安全生产管理的建议；如实记录本单位安全隐患排查治理情况，并向从业人员通报。</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注：“安全管理部门”在民航生产经营单位中存在“安监、航安、安质、安管”等不同名称，但本质上都是《安全生产法》要求的“安全生产管理机构”，即企业内部设立的独立主管安全生产管理事务的部门。</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部门按照“三管三必须”的原则，履行民航生产经营单位内部管理规定的相应职责，并按规定参与或独立开展危险源识别，风险分析和评价分级，以及风险控制措施，及时排查治理职责范围内的安全隐患。</w:t>
      </w:r>
    </w:p>
    <w:p>
      <w:pPr>
        <w:adjustRightInd w:val="0"/>
        <w:snapToGrid w:val="0"/>
        <w:spacing w:after="62" w:afterLines="20" w:line="560" w:lineRule="exact"/>
        <w:outlineLvl w:val="1"/>
        <w:rPr>
          <w:b/>
          <w:bCs/>
          <w:sz w:val="32"/>
          <w:szCs w:val="32"/>
        </w:rPr>
      </w:pPr>
      <w:bookmarkStart w:id="23" w:name="_Toc109054413"/>
      <w:r>
        <w:rPr>
          <w:b/>
          <w:bCs/>
          <w:sz w:val="32"/>
          <w:szCs w:val="32"/>
        </w:rPr>
        <w:t xml:space="preserve">6.3 </w:t>
      </w:r>
      <w:r>
        <w:rPr>
          <w:rFonts w:hint="eastAsia"/>
          <w:b/>
          <w:bCs/>
          <w:sz w:val="32"/>
          <w:szCs w:val="32"/>
        </w:rPr>
        <w:t>从业人员的职责</w:t>
      </w:r>
      <w:bookmarkEnd w:id="23"/>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民航生产经营单位的从业人员应当严格执行本单位的安全生产和安全管理制度和操作规程，发现安全隐患或者其他不安全因素，应当立即向现场安全管理人员或者本单位负责人报告。</w:t>
      </w:r>
    </w:p>
    <w:p>
      <w:pPr>
        <w:adjustRightInd w:val="0"/>
        <w:snapToGrid w:val="0"/>
        <w:spacing w:after="62" w:afterLines="20" w:line="560" w:lineRule="exact"/>
        <w:outlineLvl w:val="1"/>
        <w:rPr>
          <w:b/>
          <w:bCs/>
          <w:sz w:val="32"/>
          <w:szCs w:val="32"/>
        </w:rPr>
      </w:pPr>
      <w:bookmarkStart w:id="24" w:name="_Toc109054414"/>
      <w:r>
        <w:rPr>
          <w:b/>
          <w:bCs/>
          <w:sz w:val="32"/>
          <w:szCs w:val="32"/>
        </w:rPr>
        <w:t xml:space="preserve">6.4 </w:t>
      </w:r>
      <w:r>
        <w:rPr>
          <w:rFonts w:hint="eastAsia"/>
          <w:b/>
          <w:bCs/>
          <w:sz w:val="32"/>
          <w:szCs w:val="32"/>
        </w:rPr>
        <w:t>工会的职责</w:t>
      </w:r>
      <w:bookmarkEnd w:id="24"/>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民航生产经营单位的工会发现安全隐患时，有权提出解决的建议。</w:t>
      </w:r>
    </w:p>
    <w:p>
      <w:pPr>
        <w:adjustRightInd w:val="0"/>
        <w:snapToGrid w:val="0"/>
        <w:spacing w:after="62" w:afterLines="20" w:line="560" w:lineRule="exact"/>
        <w:outlineLvl w:val="1"/>
        <w:rPr>
          <w:b/>
          <w:bCs/>
          <w:sz w:val="32"/>
          <w:szCs w:val="32"/>
        </w:rPr>
      </w:pPr>
      <w:bookmarkStart w:id="25" w:name="_Toc109054415"/>
      <w:r>
        <w:rPr>
          <w:b/>
          <w:bCs/>
          <w:sz w:val="32"/>
          <w:szCs w:val="32"/>
        </w:rPr>
        <w:t xml:space="preserve">6.5 </w:t>
      </w:r>
      <w:r>
        <w:rPr>
          <w:rFonts w:hint="eastAsia"/>
          <w:b/>
          <w:bCs/>
          <w:sz w:val="32"/>
          <w:szCs w:val="32"/>
        </w:rPr>
        <w:t>外包方的监管职责</w:t>
      </w:r>
      <w:bookmarkEnd w:id="25"/>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民航生产经营项目、场所发包或者出租给其他单位的，民航生产经营单位应当与承包、承租单位签订安全生产管理协议，明确各方对安全生产</w:t>
      </w:r>
      <w:r>
        <w:rPr>
          <w:rFonts w:ascii="仿宋_GB2312" w:hAnsi="仿宋_GB2312" w:eastAsia="仿宋_GB2312" w:cs="仿宋_GB2312"/>
          <w:sz w:val="32"/>
          <w:szCs w:val="32"/>
        </w:rPr>
        <w:t>风险分级管控和隐患排查治理</w:t>
      </w:r>
      <w:r>
        <w:rPr>
          <w:rFonts w:hint="eastAsia" w:ascii="仿宋_GB2312" w:hAnsi="仿宋_GB2312" w:eastAsia="仿宋_GB2312" w:cs="仿宋_GB2312"/>
          <w:sz w:val="32"/>
          <w:szCs w:val="32"/>
        </w:rPr>
        <w:t>的管理职责。民航生产经营单位对承包、承租单位的安全生产工作负有统一协调、管理的职责。</w:t>
      </w:r>
    </w:p>
    <w:p>
      <w:pPr>
        <w:adjustRightInd w:val="0"/>
        <w:snapToGrid w:val="0"/>
        <w:spacing w:after="62" w:afterLines="20" w:line="560" w:lineRule="exact"/>
        <w:outlineLvl w:val="1"/>
        <w:rPr>
          <w:b/>
          <w:bCs/>
          <w:sz w:val="32"/>
          <w:szCs w:val="32"/>
        </w:rPr>
      </w:pPr>
      <w:bookmarkStart w:id="26" w:name="_Toc109054416"/>
      <w:r>
        <w:rPr>
          <w:b/>
          <w:bCs/>
          <w:sz w:val="32"/>
          <w:szCs w:val="32"/>
        </w:rPr>
        <w:t xml:space="preserve">6.6 </w:t>
      </w:r>
      <w:r>
        <w:rPr>
          <w:rFonts w:hint="eastAsia"/>
          <w:b/>
          <w:bCs/>
          <w:sz w:val="32"/>
          <w:szCs w:val="32"/>
        </w:rPr>
        <w:t>同一作业区域的监督职责</w:t>
      </w:r>
      <w:bookmarkEnd w:id="26"/>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同一作业区域内存在两个以上生产经营单位同时进行生产经营活动，可能危及对方生产安全的，应当签订安全生产管理协议，明确各自的安全生产管理职责、安全风险管控措施和隐患治理措施，并指定专职安全管理人员进行安全检查与协调。民用机场等特定运行场景下另有规定的，从其规定。</w:t>
      </w:r>
    </w:p>
    <w:p>
      <w:pPr>
        <w:adjustRightInd w:val="0"/>
        <w:snapToGrid w:val="0"/>
        <w:spacing w:after="62" w:afterLines="20" w:line="560" w:lineRule="exact"/>
        <w:outlineLvl w:val="0"/>
        <w:rPr>
          <w:rFonts w:ascii="黑体" w:hAnsi="黑体" w:eastAsia="黑体"/>
          <w:sz w:val="32"/>
          <w:szCs w:val="32"/>
        </w:rPr>
      </w:pPr>
      <w:bookmarkStart w:id="27" w:name="_Toc109054417"/>
      <w:r>
        <w:rPr>
          <w:rFonts w:ascii="黑体" w:hAnsi="黑体" w:eastAsia="黑体"/>
          <w:sz w:val="32"/>
          <w:szCs w:val="32"/>
        </w:rPr>
        <w:t>7.</w:t>
      </w:r>
      <w:r>
        <w:rPr>
          <w:rFonts w:hint="eastAsia" w:ascii="黑体" w:hAnsi="黑体" w:eastAsia="黑体"/>
          <w:sz w:val="32"/>
          <w:szCs w:val="32"/>
        </w:rPr>
        <w:t>安全风险分级管控</w:t>
      </w:r>
      <w:bookmarkEnd w:id="27"/>
    </w:p>
    <w:p>
      <w:pPr>
        <w:adjustRightInd w:val="0"/>
        <w:snapToGrid w:val="0"/>
        <w:spacing w:after="62" w:afterLines="20" w:line="560" w:lineRule="exact"/>
        <w:outlineLvl w:val="1"/>
        <w:rPr>
          <w:b/>
          <w:bCs/>
          <w:sz w:val="32"/>
          <w:szCs w:val="32"/>
        </w:rPr>
      </w:pPr>
      <w:bookmarkStart w:id="28" w:name="_Toc109054418"/>
      <w:r>
        <w:rPr>
          <w:b/>
          <w:bCs/>
          <w:sz w:val="32"/>
          <w:szCs w:val="32"/>
        </w:rPr>
        <w:t xml:space="preserve">7.1 </w:t>
      </w:r>
      <w:r>
        <w:rPr>
          <w:rFonts w:hint="eastAsia"/>
          <w:b/>
          <w:bCs/>
          <w:sz w:val="32"/>
          <w:szCs w:val="32"/>
        </w:rPr>
        <w:t>总体要求</w:t>
      </w:r>
      <w:bookmarkEnd w:id="28"/>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民航生产经营单位应当建立健全安全风险分级管控制度，并根据图</w:t>
      </w:r>
      <w:r>
        <w:rPr>
          <w:rFonts w:ascii="仿宋_GB2312" w:hAnsi="仿宋_GB2312" w:eastAsia="仿宋_GB2312" w:cs="仿宋_GB2312"/>
          <w:sz w:val="32"/>
          <w:szCs w:val="32"/>
        </w:rPr>
        <w:t>2所示，清晰、明确地接入SMS</w:t>
      </w:r>
      <w:r>
        <w:rPr>
          <w:rFonts w:hint="eastAsia" w:ascii="仿宋_GB2312" w:hAnsi="仿宋_GB2312" w:eastAsia="仿宋_GB2312" w:cs="仿宋_GB2312"/>
          <w:sz w:val="32"/>
          <w:szCs w:val="32"/>
        </w:rPr>
        <w:t>的“安全风险管理”流程。该制度应当包括对安全风险分级管控的职责分工、系统描述、危险源识别、风险分析、风险评价分级和风险控制过程，以及安全风险分级管控台账等管理要求。</w:t>
      </w:r>
    </w:p>
    <w:p>
      <w:pPr>
        <w:adjustRightInd w:val="0"/>
        <w:snapToGrid w:val="0"/>
        <w:spacing w:after="62" w:afterLines="20" w:line="560" w:lineRule="exact"/>
        <w:outlineLvl w:val="1"/>
        <w:rPr>
          <w:b/>
          <w:bCs/>
          <w:sz w:val="32"/>
          <w:szCs w:val="32"/>
        </w:rPr>
      </w:pPr>
      <w:bookmarkStart w:id="29" w:name="_Toc109054419"/>
      <w:r>
        <w:rPr>
          <w:b/>
          <w:bCs/>
          <w:sz w:val="32"/>
          <w:szCs w:val="32"/>
        </w:rPr>
        <w:t xml:space="preserve">7.2 </w:t>
      </w:r>
      <w:r>
        <w:rPr>
          <w:rFonts w:hint="eastAsia"/>
          <w:b/>
          <w:bCs/>
          <w:sz w:val="32"/>
          <w:szCs w:val="32"/>
        </w:rPr>
        <w:t>系统描述</w:t>
      </w:r>
      <w:bookmarkEnd w:id="29"/>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（1）基本要素</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w:t>
      </w:r>
      <w:r>
        <w:rPr>
          <w:rFonts w:ascii="仿宋_GB2312" w:hAnsi="仿宋_GB2312" w:eastAsia="仿宋_GB2312" w:cs="仿宋_GB2312"/>
          <w:sz w:val="32"/>
          <w:szCs w:val="32"/>
        </w:rPr>
        <w:t>Doc9859</w:t>
      </w:r>
      <w:r>
        <w:rPr>
          <w:rFonts w:hint="eastAsia" w:ascii="仿宋_GB2312" w:hAnsi="仿宋_GB2312" w:eastAsia="仿宋_GB2312" w:cs="仿宋_GB2312"/>
          <w:sz w:val="32"/>
          <w:szCs w:val="32"/>
        </w:rPr>
        <w:t>《安全管理手册》的相关要求，“系统描述”是《安全管理体系手册》的必要内容，应当至少包括组织机构、业务流程、可能涉及的设施设备、运行环境、规章制度和操作规程，以及接口的描述，以界定</w:t>
      </w:r>
      <w:r>
        <w:rPr>
          <w:rFonts w:ascii="仿宋_GB2312" w:hAnsi="仿宋_GB2312" w:eastAsia="仿宋_GB2312" w:cs="仿宋_GB2312"/>
          <w:sz w:val="32"/>
          <w:szCs w:val="32"/>
        </w:rPr>
        <w:t>SMS及其子系统的边界，确定双重预防机制在体系内的特征。</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（2）作用</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系统描述可以使民航生产经营单位能够更清晰地了解其众多的内外部交互系统和接口，有助于更好地定位危险源、安全隐患并管控相关风险。同时，及时更新系统描述还有助于了解各种变动对SMS流程和程序的影响，满足SMS在变更管理时关于对与系统描述进行检查的相关要求。</w:t>
      </w:r>
    </w:p>
    <w:p>
      <w:pPr>
        <w:numPr>
          <w:ilvl w:val="0"/>
          <w:numId w:val="1"/>
        </w:num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格式</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描述通常包含带有必要注释的组织机构图、核心业务流程图（包含内外部接口），及各项相关政策、程序的列表，但民航生产经营单位应当使用适合其自身的方法和格式编制适合本单位运行特点和复杂程度的系统描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（样例见附录</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adjustRightInd w:val="0"/>
        <w:snapToGrid w:val="0"/>
        <w:spacing w:after="62" w:afterLines="20" w:line="560" w:lineRule="exact"/>
        <w:ind w:firstLine="560" w:firstLineChars="200"/>
        <w:rPr>
          <w:rFonts w:ascii="仿宋_GB2312" w:hAnsi="仿宋_GB2312" w:eastAsia="仿宋_GB2312" w:cs="仿宋_GB2312"/>
          <w:sz w:val="32"/>
          <w:szCs w:val="32"/>
        </w:rPr>
      </w:pPr>
      <w:r>
        <w:rPr>
          <w:rFonts w:hint="eastAsia" w:ascii="楷体_GB2312" w:hAnsi="楷体_GB2312" w:eastAsia="楷体_GB2312" w:cs="楷体_GB2312"/>
          <w:sz w:val="28"/>
          <w:szCs w:val="28"/>
        </w:rPr>
        <w:t>注：基于系统描述开展的系统与工作分析识别危险源的过程记录，由各单位按照易理解、可操作、可追溯的原则自行选择格式。</w:t>
      </w:r>
    </w:p>
    <w:p>
      <w:pPr>
        <w:adjustRightInd w:val="0"/>
        <w:snapToGrid w:val="0"/>
        <w:spacing w:after="62" w:afterLines="20" w:line="560" w:lineRule="exact"/>
        <w:outlineLvl w:val="1"/>
        <w:rPr>
          <w:b/>
          <w:bCs/>
          <w:sz w:val="32"/>
          <w:szCs w:val="32"/>
        </w:rPr>
      </w:pPr>
      <w:bookmarkStart w:id="30" w:name="_Toc109054420"/>
      <w:r>
        <w:rPr>
          <w:b/>
          <w:bCs/>
          <w:sz w:val="32"/>
          <w:szCs w:val="32"/>
        </w:rPr>
        <w:t xml:space="preserve">7.3 </w:t>
      </w:r>
      <w:r>
        <w:rPr>
          <w:rFonts w:hint="eastAsia"/>
          <w:b/>
          <w:bCs/>
          <w:sz w:val="32"/>
          <w:szCs w:val="32"/>
        </w:rPr>
        <w:t>危险源识别</w:t>
      </w:r>
      <w:bookmarkEnd w:id="30"/>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综合使用被动和主动的方法，识别与其航空产品或服务有关、影响航空安全的危险源，描述危险源可能导致的事故、征候以及一般事件等后果，从而梳理出危险源与后果之间存在可能性的风险路径。</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重大危险源应当专门登记建档，进行定期检测、评估、监控，并制定应急预案，告知从业人员和相关人员在紧急情况下应采取的应急措施。民航生产经营单位应当按国家有关规定将本单位重大危险源及有关管控措施、应急措施报所在的地方人民政府应急管理部门和所在地监管局备案，并抄报所在地地区管理局。</w:t>
      </w:r>
    </w:p>
    <w:p>
      <w:pPr>
        <w:adjustRightInd w:val="0"/>
        <w:snapToGrid w:val="0"/>
        <w:spacing w:after="62" w:afterLines="20" w:line="560" w:lineRule="exact"/>
        <w:outlineLvl w:val="1"/>
        <w:rPr>
          <w:b/>
          <w:bCs/>
          <w:sz w:val="32"/>
          <w:szCs w:val="32"/>
        </w:rPr>
      </w:pPr>
      <w:bookmarkStart w:id="31" w:name="_Toc109054421"/>
      <w:r>
        <w:rPr>
          <w:b/>
          <w:bCs/>
          <w:sz w:val="32"/>
          <w:szCs w:val="32"/>
        </w:rPr>
        <w:t xml:space="preserve">7.4 </w:t>
      </w:r>
      <w:r>
        <w:rPr>
          <w:rFonts w:hint="eastAsia"/>
          <w:b/>
          <w:bCs/>
          <w:sz w:val="32"/>
          <w:szCs w:val="32"/>
        </w:rPr>
        <w:t>风险分析和风险评价分级</w:t>
      </w:r>
      <w:bookmarkEnd w:id="31"/>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明确安全风险分级标准，对其所识别的、影响航空安全的危险源进行风险分析和评价分级，从高到低分为不可接受风险、缓解后可接受风险和可接受风险三个等级（采用更多等级的单位，需明确对应关系）。</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具体的安全风险矩阵和分级标准由民航生产经营单位按照民航局相关业务系统文件规定和本单位特点自行制定。安全风险指数采用字母与数字组合或单纯的数值来表示都是可接受的。</w:t>
      </w:r>
    </w:p>
    <w:p>
      <w:pPr>
        <w:adjustRightInd w:val="0"/>
        <w:snapToGrid w:val="0"/>
        <w:spacing w:after="62" w:afterLines="20" w:line="560" w:lineRule="exact"/>
        <w:outlineLvl w:val="1"/>
        <w:rPr>
          <w:b/>
          <w:bCs/>
          <w:sz w:val="32"/>
          <w:szCs w:val="32"/>
        </w:rPr>
      </w:pPr>
      <w:bookmarkStart w:id="32" w:name="_Toc109054422"/>
      <w:r>
        <w:rPr>
          <w:b/>
          <w:bCs/>
          <w:sz w:val="32"/>
          <w:szCs w:val="32"/>
        </w:rPr>
        <w:t xml:space="preserve">7.5 </w:t>
      </w:r>
      <w:r>
        <w:rPr>
          <w:rFonts w:hint="eastAsia"/>
          <w:b/>
          <w:bCs/>
          <w:sz w:val="32"/>
          <w:szCs w:val="32"/>
        </w:rPr>
        <w:t>风险控制</w:t>
      </w:r>
      <w:bookmarkEnd w:id="32"/>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民航生产经营单位应当依据危险源识别和安全风险评价分级结果，按照“分级管控”原则建立健全风险管控工作机制。</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（1）对于重大危险源和重大风险，由民航生产经营单位主要负责人组织相关部门制定风险控制措施及专项应急预案；</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）对于其他缓解后可接受风险，由民航生产经营单位安全管理部门负责组织相关部门制定风险控制措施；</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）对于可接受风险，仍认为需要进一步提高安全性的，可由相关部门自行制定措施，但要避免层层加码。</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涉及组织机构、政策程序调整等需要较长时间的风险管控措施，民航生产经营单位应当采取临时性安全措施将安全风险控制在可接受范围，且上述类型的风险控制措施制定后，应当重新回到系统描述，按需开展变更管理，并分析和评价剩余风险可接受后，方可转入系统运行环节。</w:t>
      </w:r>
    </w:p>
    <w:p>
      <w:pPr>
        <w:adjustRightInd w:val="0"/>
        <w:snapToGrid w:val="0"/>
        <w:spacing w:after="62" w:afterLines="20" w:line="560" w:lineRule="exact"/>
        <w:outlineLvl w:val="1"/>
        <w:rPr>
          <w:b/>
          <w:bCs/>
          <w:sz w:val="32"/>
          <w:szCs w:val="32"/>
        </w:rPr>
      </w:pPr>
      <w:bookmarkStart w:id="33" w:name="_Toc109054423"/>
      <w:r>
        <w:rPr>
          <w:b/>
          <w:bCs/>
          <w:sz w:val="32"/>
          <w:szCs w:val="32"/>
        </w:rPr>
        <w:t xml:space="preserve">7.6 </w:t>
      </w:r>
      <w:r>
        <w:rPr>
          <w:rFonts w:hint="eastAsia"/>
          <w:b/>
          <w:bCs/>
          <w:sz w:val="32"/>
          <w:szCs w:val="32"/>
        </w:rPr>
        <w:t>安全风险分级管控台账</w:t>
      </w:r>
      <w:bookmarkEnd w:id="33"/>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利用信息化技术对风险分级管控工作进行动态监控，建立台账，至少如实记录危险源名称、危险源所在部门、是否是重大危险源、危险源可能导致的后果、现有风险控制措施、风险分级评价、计划风险控制措施、风险控制措施落实效果等安全风险分级管控情况。</w:t>
      </w:r>
    </w:p>
    <w:p>
      <w:pPr>
        <w:adjustRightInd w:val="0"/>
        <w:snapToGrid w:val="0"/>
        <w:spacing w:after="62" w:afterLines="20"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注：安全风险分级管控台账即危险源清单，可参见附录</w:t>
      </w:r>
      <w:r>
        <w:rPr>
          <w:rFonts w:ascii="楷体_GB2312" w:hAnsi="楷体_GB2312" w:eastAsia="楷体_GB2312" w:cs="楷体_GB2312"/>
          <w:sz w:val="28"/>
          <w:szCs w:val="28"/>
        </w:rPr>
        <w:t>1</w:t>
      </w:r>
      <w:r>
        <w:rPr>
          <w:rFonts w:hint="eastAsia" w:ascii="楷体_GB2312" w:hAnsi="楷体_GB2312" w:eastAsia="楷体_GB2312" w:cs="楷体_GB2312"/>
          <w:sz w:val="28"/>
          <w:szCs w:val="28"/>
        </w:rPr>
        <w:t>的样例，本规定样例中未包含安全绩效管理有关内容。</w:t>
      </w:r>
    </w:p>
    <w:p>
      <w:pPr>
        <w:adjustRightInd w:val="0"/>
        <w:snapToGrid w:val="0"/>
        <w:spacing w:after="62" w:afterLines="20" w:line="560" w:lineRule="exact"/>
        <w:outlineLvl w:val="0"/>
        <w:rPr>
          <w:rFonts w:ascii="黑体" w:hAnsi="黑体" w:eastAsia="黑体"/>
          <w:sz w:val="32"/>
          <w:szCs w:val="32"/>
        </w:rPr>
      </w:pPr>
      <w:bookmarkStart w:id="34" w:name="_Toc109054424"/>
      <w:r>
        <w:rPr>
          <w:rFonts w:ascii="黑体" w:hAnsi="黑体" w:eastAsia="黑体"/>
          <w:sz w:val="32"/>
          <w:szCs w:val="32"/>
        </w:rPr>
        <w:t>8.</w:t>
      </w:r>
      <w:r>
        <w:rPr>
          <w:rFonts w:hint="eastAsia" w:ascii="黑体" w:hAnsi="黑体" w:eastAsia="黑体"/>
          <w:sz w:val="32"/>
          <w:szCs w:val="32"/>
        </w:rPr>
        <w:t>安全隐患排查治理</w:t>
      </w:r>
      <w:bookmarkEnd w:id="34"/>
    </w:p>
    <w:p>
      <w:pPr>
        <w:adjustRightInd w:val="0"/>
        <w:snapToGrid w:val="0"/>
        <w:spacing w:after="62" w:afterLines="20" w:line="560" w:lineRule="exact"/>
        <w:outlineLvl w:val="1"/>
        <w:rPr>
          <w:b/>
          <w:bCs/>
          <w:sz w:val="32"/>
          <w:szCs w:val="32"/>
        </w:rPr>
      </w:pPr>
      <w:bookmarkStart w:id="35" w:name="_Toc109054425"/>
      <w:r>
        <w:rPr>
          <w:b/>
          <w:bCs/>
          <w:sz w:val="32"/>
          <w:szCs w:val="32"/>
        </w:rPr>
        <w:t xml:space="preserve">8.1 </w:t>
      </w:r>
      <w:r>
        <w:rPr>
          <w:rFonts w:hint="eastAsia"/>
          <w:b/>
          <w:bCs/>
          <w:sz w:val="32"/>
          <w:szCs w:val="32"/>
        </w:rPr>
        <w:t>总体要求</w:t>
      </w:r>
      <w:bookmarkEnd w:id="35"/>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民航生产经营单位应当建立健全并落实本单位的安全隐患排查治理制度，该制度包括对安全隐患排查治理的职责分工、安全隐患排查、重大安全隐患治理、一般安全隐患治理和安全隐患排查治理台账等管理要求。</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w:t>
      </w:r>
      <w:r>
        <w:rPr>
          <w:rFonts w:ascii="仿宋_GB2312" w:hAnsi="仿宋_GB2312" w:eastAsia="仿宋_GB2312" w:cs="仿宋_GB2312"/>
          <w:sz w:val="32"/>
          <w:szCs w:val="32"/>
        </w:rPr>
        <w:t>通过立整立改</w:t>
      </w:r>
      <w:r>
        <w:rPr>
          <w:rFonts w:hint="eastAsia" w:ascii="仿宋_GB2312" w:hAnsi="仿宋_GB2312" w:eastAsia="仿宋_GB2312" w:cs="仿宋_GB2312"/>
          <w:sz w:val="32"/>
          <w:szCs w:val="32"/>
        </w:rPr>
        <w:t>或制定</w:t>
      </w:r>
      <w:r>
        <w:rPr>
          <w:rFonts w:ascii="仿宋_GB2312" w:hAnsi="仿宋_GB2312" w:eastAsia="仿宋_GB2312" w:cs="仿宋_GB2312"/>
          <w:sz w:val="32"/>
          <w:szCs w:val="32"/>
        </w:rPr>
        <w:t>等效措施等方法，</w:t>
      </w:r>
      <w:r>
        <w:rPr>
          <w:rFonts w:hint="eastAsia" w:ascii="仿宋_GB2312" w:hAnsi="仿宋_GB2312" w:eastAsia="仿宋_GB2312" w:cs="仿宋_GB2312"/>
          <w:sz w:val="32"/>
          <w:szCs w:val="32"/>
        </w:rPr>
        <w:t>确保</w:t>
      </w:r>
      <w:r>
        <w:rPr>
          <w:rFonts w:ascii="仿宋_GB2312" w:hAnsi="仿宋_GB2312" w:eastAsia="仿宋_GB2312" w:cs="仿宋_GB2312"/>
          <w:sz w:val="32"/>
          <w:szCs w:val="32"/>
        </w:rPr>
        <w:t>可能导致风险失控的</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隐患“</w:t>
      </w:r>
      <w:r>
        <w:rPr>
          <w:rFonts w:hint="eastAsia" w:ascii="仿宋_GB2312" w:hAnsi="仿宋_GB2312" w:eastAsia="仿宋_GB2312" w:cs="仿宋_GB2312"/>
          <w:sz w:val="32"/>
          <w:szCs w:val="32"/>
        </w:rPr>
        <w:t>动态</w:t>
      </w:r>
      <w:r>
        <w:rPr>
          <w:rFonts w:ascii="仿宋_GB2312" w:hAnsi="仿宋_GB2312" w:eastAsia="仿宋_GB2312" w:cs="仿宋_GB2312"/>
          <w:sz w:val="32"/>
          <w:szCs w:val="32"/>
        </w:rPr>
        <w:t>清零”，即：针对排查发现的安全隐患，应当</w:t>
      </w:r>
      <w:r>
        <w:rPr>
          <w:rFonts w:hint="eastAsia" w:ascii="仿宋_GB2312" w:hAnsi="仿宋_GB2312" w:eastAsia="仿宋_GB2312" w:cs="仿宋_GB2312"/>
          <w:sz w:val="32"/>
          <w:szCs w:val="32"/>
        </w:rPr>
        <w:t>立即采取措施</w:t>
      </w:r>
      <w:r>
        <w:rPr>
          <w:rFonts w:ascii="仿宋_GB2312" w:hAnsi="仿宋_GB2312" w:eastAsia="仿宋_GB2312" w:cs="仿宋_GB2312"/>
          <w:sz w:val="32"/>
          <w:szCs w:val="32"/>
        </w:rPr>
        <w:t>予以消除</w:t>
      </w:r>
      <w:r>
        <w:rPr>
          <w:rFonts w:hint="eastAsia" w:ascii="仿宋_GB2312" w:hAnsi="仿宋_GB2312" w:eastAsia="仿宋_GB2312" w:cs="仿宋_GB2312"/>
          <w:sz w:val="32"/>
          <w:szCs w:val="32"/>
        </w:rPr>
        <w:t>；或对于无法立即消除的安全隐患，制定临时性等效措施管控由于受该隐患而可能失控的管控风险，并制定整改措施、确定整改期限且在整改完成前定期评估临时性等效措施的有效性。</w:t>
      </w:r>
    </w:p>
    <w:p>
      <w:pPr>
        <w:adjustRightInd w:val="0"/>
        <w:snapToGrid w:val="0"/>
        <w:spacing w:after="62" w:afterLines="20" w:line="560" w:lineRule="exact"/>
        <w:outlineLvl w:val="1"/>
        <w:rPr>
          <w:b/>
          <w:bCs/>
          <w:sz w:val="32"/>
          <w:szCs w:val="32"/>
        </w:rPr>
      </w:pPr>
      <w:bookmarkStart w:id="36" w:name="_Toc109054426"/>
      <w:r>
        <w:rPr>
          <w:b/>
          <w:bCs/>
          <w:sz w:val="32"/>
          <w:szCs w:val="32"/>
        </w:rPr>
        <w:t xml:space="preserve">8.2 </w:t>
      </w:r>
      <w:r>
        <w:rPr>
          <w:rFonts w:hint="eastAsia"/>
          <w:b/>
          <w:bCs/>
          <w:sz w:val="32"/>
          <w:szCs w:val="32"/>
        </w:rPr>
        <w:t>安全隐患排查</w:t>
      </w:r>
      <w:bookmarkEnd w:id="36"/>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民航生产经营单位应当根据自身特点，采取但不限于安全信息报告、法定自查、安全审计、</w:t>
      </w:r>
      <w:r>
        <w:rPr>
          <w:rFonts w:ascii="仿宋_GB2312" w:hAnsi="仿宋_GB2312" w:eastAsia="仿宋_GB2312" w:cs="仿宋_GB2312"/>
          <w:sz w:val="32"/>
          <w:szCs w:val="32"/>
        </w:rPr>
        <w:t>SMS审核以及配合行政检查等各种方式进行安全隐患排查。</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如发现重大安全隐患，应按照8</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的要求进行治理；如发现一般安全隐患，应当按照8</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的要求进行治理；排查中如发现潜在的危险源，应回溯到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7.2系统描述”进行定位和梳理，适时启动安全风险分级管控流程识别危险源并管控相关风险；如评估发现的问题不属于上述任何一类，可选择是否改进后，回到系统运行环节。</w:t>
      </w:r>
    </w:p>
    <w:p>
      <w:pPr>
        <w:adjustRightInd w:val="0"/>
        <w:snapToGrid w:val="0"/>
        <w:spacing w:after="62" w:afterLines="20" w:line="560" w:lineRule="exact"/>
        <w:outlineLvl w:val="1"/>
        <w:rPr>
          <w:b/>
          <w:bCs/>
          <w:sz w:val="32"/>
          <w:szCs w:val="32"/>
        </w:rPr>
      </w:pPr>
      <w:bookmarkStart w:id="37" w:name="_Toc109054427"/>
      <w:r>
        <w:rPr>
          <w:b/>
          <w:bCs/>
          <w:sz w:val="32"/>
          <w:szCs w:val="32"/>
        </w:rPr>
        <w:t xml:space="preserve">8.3 </w:t>
      </w:r>
      <w:r>
        <w:rPr>
          <w:rFonts w:hint="eastAsia"/>
          <w:b/>
          <w:bCs/>
          <w:sz w:val="32"/>
          <w:szCs w:val="32"/>
        </w:rPr>
        <w:t>重大安全隐患治理</w:t>
      </w:r>
      <w:bookmarkEnd w:id="37"/>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重大</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隐患，</w:t>
      </w:r>
      <w:r>
        <w:rPr>
          <w:rFonts w:hint="eastAsia" w:ascii="仿宋_GB2312" w:hAnsi="仿宋_GB2312" w:eastAsia="仿宋_GB2312" w:cs="仿宋_GB2312"/>
          <w:sz w:val="32"/>
          <w:szCs w:val="32"/>
        </w:rPr>
        <w:t>民航</w:t>
      </w:r>
      <w:r>
        <w:rPr>
          <w:rFonts w:ascii="仿宋_GB2312" w:hAnsi="仿宋_GB2312" w:eastAsia="仿宋_GB2312" w:cs="仿宋_GB2312"/>
          <w:sz w:val="32"/>
          <w:szCs w:val="32"/>
        </w:rPr>
        <w:t>生产经营单位应</w:t>
      </w:r>
      <w:r>
        <w:rPr>
          <w:rFonts w:hint="eastAsia" w:ascii="仿宋_GB2312" w:hAnsi="仿宋_GB2312" w:eastAsia="仿宋_GB2312" w:cs="仿宋_GB2312"/>
          <w:sz w:val="32"/>
          <w:szCs w:val="32"/>
        </w:rPr>
        <w:t>当至少</w:t>
      </w:r>
      <w:r>
        <w:rPr>
          <w:rFonts w:ascii="仿宋_GB2312" w:hAnsi="仿宋_GB2312" w:eastAsia="仿宋_GB2312" w:cs="仿宋_GB2312"/>
          <w:sz w:val="32"/>
          <w:szCs w:val="32"/>
        </w:rPr>
        <w:t>采取下列治理措施：</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及时</w:t>
      </w:r>
      <w:r>
        <w:rPr>
          <w:rFonts w:ascii="仿宋_GB2312" w:hAnsi="仿宋_GB2312" w:eastAsia="仿宋_GB2312" w:cs="仿宋_GB2312"/>
          <w:sz w:val="32"/>
          <w:szCs w:val="32"/>
        </w:rPr>
        <w:t>停止使用相关设施、设备，局部或者全部停产停业</w:t>
      </w:r>
      <w:r>
        <w:rPr>
          <w:rFonts w:hint="eastAsia" w:ascii="仿宋_GB2312" w:hAnsi="仿宋_GB2312" w:eastAsia="仿宋_GB2312" w:cs="仿宋_GB2312"/>
          <w:sz w:val="32"/>
          <w:szCs w:val="32"/>
        </w:rPr>
        <w:t>，并立即报告所在地监管局，抄报所在地地区管理局。</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应回溯到本规定“</w:t>
      </w:r>
      <w:r>
        <w:rPr>
          <w:rFonts w:ascii="仿宋_GB2312" w:hAnsi="仿宋_GB2312" w:eastAsia="仿宋_GB2312" w:cs="仿宋_GB2312"/>
          <w:sz w:val="32"/>
          <w:szCs w:val="32"/>
        </w:rPr>
        <w:t xml:space="preserve">7.2 </w:t>
      </w:r>
      <w:r>
        <w:rPr>
          <w:rFonts w:hint="eastAsia" w:ascii="仿宋_GB2312" w:hAnsi="仿宋_GB2312" w:eastAsia="仿宋_GB2312" w:cs="仿宋_GB2312"/>
          <w:sz w:val="32"/>
          <w:szCs w:val="32"/>
        </w:rPr>
        <w:t>系统描述”环节进行梳理，按照“7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安全风险分级管控”要求启动安全风险分级管控，有针对性地制定治理方案。</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组织制定并实施治理方案，落实责任、措施、资金、时限和应急预案，消除重大安全隐患。</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4）被责令局部或者全部停产停业</w:t>
      </w:r>
      <w:r>
        <w:rPr>
          <w:rFonts w:hint="eastAsia" w:ascii="仿宋_GB2312" w:hAnsi="仿宋_GB2312" w:eastAsia="仿宋_GB2312" w:cs="仿宋_GB2312"/>
          <w:sz w:val="32"/>
          <w:szCs w:val="32"/>
        </w:rPr>
        <w:t>的民航</w:t>
      </w:r>
      <w:r>
        <w:rPr>
          <w:rFonts w:ascii="仿宋_GB2312" w:hAnsi="仿宋_GB2312" w:eastAsia="仿宋_GB2312" w:cs="仿宋_GB2312"/>
          <w:sz w:val="32"/>
          <w:szCs w:val="32"/>
        </w:rPr>
        <w:t>生产经营单位</w:t>
      </w:r>
      <w:r>
        <w:rPr>
          <w:rFonts w:hint="eastAsia" w:ascii="仿宋_GB2312" w:hAnsi="仿宋_GB2312" w:eastAsia="仿宋_GB2312" w:cs="仿宋_GB2312"/>
          <w:sz w:val="32"/>
          <w:szCs w:val="32"/>
        </w:rPr>
        <w:t>，完成重大安全隐患治理后，应当组织本单位技术人员和专家，或委托具有相应资质的安全评估机构对重大安全隐患治理情况进行评估；确认治理后符合安全生产条件，向所在地监管局提出书面申请（包括治理方案、执行情况和评估报告），经审查同意后方可恢复生产经营。</w:t>
      </w:r>
    </w:p>
    <w:p>
      <w:pPr>
        <w:adjustRightInd w:val="0"/>
        <w:snapToGrid w:val="0"/>
        <w:spacing w:after="62" w:afterLines="20" w:line="560" w:lineRule="exact"/>
        <w:outlineLvl w:val="1"/>
        <w:rPr>
          <w:b/>
          <w:bCs/>
          <w:sz w:val="32"/>
          <w:szCs w:val="32"/>
        </w:rPr>
      </w:pPr>
      <w:bookmarkStart w:id="38" w:name="_Toc109054428"/>
      <w:r>
        <w:rPr>
          <w:b/>
          <w:bCs/>
          <w:sz w:val="32"/>
          <w:szCs w:val="32"/>
        </w:rPr>
        <w:t xml:space="preserve">8.4 </w:t>
      </w:r>
      <w:r>
        <w:rPr>
          <w:rFonts w:hint="eastAsia"/>
          <w:b/>
          <w:bCs/>
          <w:sz w:val="32"/>
          <w:szCs w:val="32"/>
        </w:rPr>
        <w:t>一般安全隐患治理</w:t>
      </w:r>
      <w:bookmarkEnd w:id="38"/>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（1）对于排查出来风险控制措施失效或弱化产生的一般安全隐患，治理过程中应当回溯到“</w:t>
      </w:r>
      <w:r>
        <w:rPr>
          <w:rFonts w:ascii="仿宋_GB2312" w:hAnsi="仿宋_GB2312" w:eastAsia="仿宋_GB2312" w:cs="仿宋_GB2312"/>
          <w:sz w:val="32"/>
          <w:szCs w:val="32"/>
        </w:rPr>
        <w:t xml:space="preserve">7.5 </w:t>
      </w:r>
      <w:r>
        <w:rPr>
          <w:rFonts w:hint="eastAsia" w:ascii="仿宋_GB2312" w:hAnsi="仿宋_GB2312" w:eastAsia="仿宋_GB2312" w:cs="仿宋_GB2312"/>
          <w:sz w:val="32"/>
          <w:szCs w:val="32"/>
        </w:rPr>
        <w:t>风险控制”环节对风险控制措施进行审查和调整；对于涉及组织机构、政策程序调整等需要较长时间的风险管控措施，民航生产经营单位应当采取临时性安全措施将安全风险控制在可接受范围，且上述类型的风险控制措施制定后，应当重新回到“</w:t>
      </w:r>
      <w:r>
        <w:rPr>
          <w:rFonts w:ascii="仿宋_GB2312" w:hAnsi="仿宋_GB2312" w:eastAsia="仿宋_GB2312" w:cs="仿宋_GB2312"/>
          <w:sz w:val="32"/>
          <w:szCs w:val="32"/>
        </w:rPr>
        <w:t xml:space="preserve">7.2 </w:t>
      </w:r>
      <w:r>
        <w:rPr>
          <w:rFonts w:hint="eastAsia" w:ascii="仿宋_GB2312" w:hAnsi="仿宋_GB2312" w:eastAsia="仿宋_GB2312" w:cs="仿宋_GB2312"/>
          <w:sz w:val="32"/>
          <w:szCs w:val="32"/>
        </w:rPr>
        <w:t>系统描述”，按需开展变更管理，并分析和评价剩余风险可接受后，方可转入系统运行环节。</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（2）对于暂未关联到已有风险管控措施的、因违规违章等情况被确定的安全隐患，如涉及重复性违规违章行为，应当回溯到本规定“</w:t>
      </w:r>
      <w:r>
        <w:rPr>
          <w:rFonts w:ascii="仿宋_GB2312" w:hAnsi="仿宋_GB2312" w:eastAsia="仿宋_GB2312" w:cs="仿宋_GB2312"/>
          <w:sz w:val="32"/>
          <w:szCs w:val="32"/>
        </w:rPr>
        <w:t xml:space="preserve">7.2 </w:t>
      </w:r>
      <w:r>
        <w:rPr>
          <w:rFonts w:hint="eastAsia" w:ascii="仿宋_GB2312" w:hAnsi="仿宋_GB2312" w:eastAsia="仿宋_GB2312" w:cs="仿宋_GB2312"/>
          <w:sz w:val="32"/>
          <w:szCs w:val="32"/>
        </w:rPr>
        <w:t>系统描述”环节进行梳理，并按要求启动安全风险分级管控；如不属于重复性违规违章，可立即整改并关闭。</w:t>
      </w:r>
    </w:p>
    <w:p>
      <w:pPr>
        <w:adjustRightInd w:val="0"/>
        <w:snapToGrid w:val="0"/>
        <w:spacing w:after="62" w:afterLines="20" w:line="560" w:lineRule="exact"/>
        <w:outlineLvl w:val="1"/>
        <w:rPr>
          <w:b/>
          <w:bCs/>
          <w:sz w:val="32"/>
          <w:szCs w:val="32"/>
        </w:rPr>
      </w:pPr>
      <w:bookmarkStart w:id="39" w:name="_Toc109054429"/>
      <w:r>
        <w:rPr>
          <w:b/>
          <w:bCs/>
          <w:sz w:val="32"/>
          <w:szCs w:val="32"/>
        </w:rPr>
        <w:t xml:space="preserve">8.5 </w:t>
      </w:r>
      <w:r>
        <w:rPr>
          <w:rFonts w:hint="eastAsia"/>
          <w:b/>
          <w:bCs/>
          <w:sz w:val="32"/>
          <w:szCs w:val="32"/>
        </w:rPr>
        <w:t>安全隐患排查治理台账</w:t>
      </w:r>
      <w:bookmarkEnd w:id="39"/>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民航生产经营单位应当：</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安全隐患排查治理台账（即隐患清单，参见附录2样例），如实记录安全隐患名称、类别、原因分析（如适用）、关联的风险控制措施、可能关联的后果（如适用）、整改措施、治理效果验证情况等安全隐患排查治理情况。已经完成整改闭环的隐患可标记关闭，不再统计在本公司隐患总数内，但安全管理的数据库，以及判定重复性、顽固性隐患的比对资料，应当长期保存，不得随意篡改或删除。</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（2）对重大安全隐患除填入隐患清单外，还应建立专门的信息档案，包括重大安全隐患的治理方案、复查验收报告以及报送情况等各种记录和文件。</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（3）通过职工大会或者职工代表大会、信息公示栏等方式向从业人员通报安全隐患排查治理情况。</w:t>
      </w:r>
    </w:p>
    <w:p>
      <w:pPr>
        <w:pStyle w:val="2"/>
        <w:rPr>
          <w:rFonts w:ascii="黑体" w:hAnsi="黑体" w:eastAsia="黑体" w:cs="黑体"/>
          <w:sz w:val="32"/>
          <w:szCs w:val="32"/>
        </w:rPr>
      </w:pPr>
      <w:bookmarkStart w:id="40" w:name="_Toc109054430"/>
      <w:r>
        <w:rPr>
          <w:rFonts w:ascii="黑体" w:hAnsi="黑体" w:eastAsia="黑体" w:cs="黑体"/>
          <w:sz w:val="32"/>
          <w:szCs w:val="32"/>
        </w:rPr>
        <w:t>9.</w:t>
      </w:r>
      <w:r>
        <w:rPr>
          <w:rFonts w:hint="eastAsia" w:ascii="黑体" w:hAnsi="黑体" w:eastAsia="黑体" w:cs="黑体"/>
          <w:sz w:val="32"/>
          <w:szCs w:val="32"/>
        </w:rPr>
        <w:t>监督检查</w:t>
      </w:r>
      <w:bookmarkEnd w:id="40"/>
    </w:p>
    <w:p>
      <w:pPr>
        <w:adjustRightInd w:val="0"/>
        <w:snapToGrid w:val="0"/>
        <w:spacing w:after="62" w:afterLines="20" w:line="560" w:lineRule="exact"/>
        <w:outlineLvl w:val="1"/>
        <w:rPr>
          <w:b/>
          <w:bCs/>
          <w:sz w:val="32"/>
          <w:szCs w:val="32"/>
        </w:rPr>
      </w:pPr>
      <w:bookmarkStart w:id="41" w:name="_Toc109054431"/>
      <w:r>
        <w:rPr>
          <w:b/>
          <w:bCs/>
          <w:sz w:val="32"/>
          <w:szCs w:val="32"/>
        </w:rPr>
        <w:t xml:space="preserve">9.1 </w:t>
      </w:r>
      <w:r>
        <w:rPr>
          <w:rFonts w:hint="eastAsia"/>
          <w:b/>
          <w:bCs/>
          <w:sz w:val="32"/>
          <w:szCs w:val="32"/>
        </w:rPr>
        <w:t>监督检查重点</w:t>
      </w:r>
      <w:bookmarkEnd w:id="41"/>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民航行政机关在对各业务系统民航生产经营单位的SMS检查时应包含以下重点内容：</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1）安全风险分级管控和</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隐患排查治理</w:t>
      </w:r>
      <w:r>
        <w:rPr>
          <w:rFonts w:hint="eastAsia" w:ascii="仿宋_GB2312" w:hAnsi="仿宋_GB2312" w:eastAsia="仿宋_GB2312" w:cs="仿宋_GB2312"/>
          <w:sz w:val="32"/>
          <w:szCs w:val="32"/>
        </w:rPr>
        <w:t>的制度建设和实施情况；</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2）安全风险分级管控和安全隐患排查治理台账建立</w:t>
      </w:r>
      <w:r>
        <w:rPr>
          <w:rFonts w:hint="eastAsia" w:ascii="仿宋_GB2312" w:hAnsi="仿宋_GB2312" w:eastAsia="仿宋_GB2312" w:cs="仿宋_GB2312"/>
          <w:sz w:val="32"/>
          <w:szCs w:val="32"/>
        </w:rPr>
        <w:t>情况；</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3）重大风险的管控措施落实情况；</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（4）重大危险源的管控情况；</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5）重大安全隐患的治理情况；</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（6）未能按期关闭的安全隐患及重复性违规违章类的安全隐患治理情况。</w:t>
      </w:r>
    </w:p>
    <w:p>
      <w:pPr>
        <w:adjustRightInd w:val="0"/>
        <w:snapToGrid w:val="0"/>
        <w:spacing w:after="62" w:afterLines="20" w:line="560" w:lineRule="exact"/>
        <w:outlineLvl w:val="1"/>
        <w:rPr>
          <w:b/>
          <w:bCs/>
          <w:sz w:val="32"/>
          <w:szCs w:val="32"/>
        </w:rPr>
      </w:pPr>
      <w:bookmarkStart w:id="42" w:name="_Toc109054432"/>
      <w:r>
        <w:rPr>
          <w:b/>
          <w:bCs/>
          <w:sz w:val="32"/>
          <w:szCs w:val="32"/>
        </w:rPr>
        <w:t xml:space="preserve">9.2 </w:t>
      </w:r>
      <w:r>
        <w:rPr>
          <w:rFonts w:hint="eastAsia"/>
          <w:b/>
          <w:bCs/>
          <w:sz w:val="32"/>
          <w:szCs w:val="32"/>
        </w:rPr>
        <w:t>推动安全隐患动态清零</w:t>
      </w:r>
      <w:bookmarkEnd w:id="42"/>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对于民航行政机关检查发现的安全隐患，</w:t>
      </w:r>
      <w:r>
        <w:rPr>
          <w:rFonts w:ascii="仿宋_GB2312" w:hAnsi="仿宋_GB2312" w:eastAsia="仿宋_GB2312" w:cs="仿宋_GB2312"/>
          <w:sz w:val="32"/>
          <w:szCs w:val="32"/>
        </w:rPr>
        <w:t>应当责令立即</w:t>
      </w:r>
      <w:r>
        <w:rPr>
          <w:rFonts w:hint="eastAsia" w:ascii="仿宋_GB2312" w:hAnsi="仿宋_GB2312" w:eastAsia="仿宋_GB2312" w:cs="仿宋_GB2312"/>
          <w:sz w:val="32"/>
          <w:szCs w:val="32"/>
        </w:rPr>
        <w:t>治理，并建立健全安全隐患治理督办制度，以安全隐患“动态清零”为目标，督促民航生产经营单位落实安全隐患排查治理工作。</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对于治理难度高且尚未构成重大安全隐患的一般安全隐患应当重点记录、跟踪督办。</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于检查发现或者接报的重大安全隐患要登记建档，指定专责部门挂牌督办，并录入信息系统。必要时，应当将重大安全隐患治理情况通报该单位上级主管部门，或报告同级人民政府对重大安全隐患实施挂牌督办，落实《安全生产法》关于相互配合、齐抓共管、信息共享、资源共用的安全监管要求，共同督促民航生产经营单位消除重大安全隐患。</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重大安全隐患排除前或者排除过程中无法保证安全的，应当责令从危险区域内撤出作业人员，责令暂时停产停业或者停止使用相关设施、设备。</w:t>
      </w:r>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重大安全隐患治理完成，收到民航生产经营单位提出的书面申请后，由所在地地区管理局或授权监管局组织现场审查，审查合格后，方可对重大安全隐患进行核销，同意恢复生产经营和使用。</w:t>
      </w:r>
    </w:p>
    <w:p>
      <w:pPr>
        <w:adjustRightInd w:val="0"/>
        <w:snapToGrid w:val="0"/>
        <w:spacing w:after="62" w:afterLines="20" w:line="560" w:lineRule="exact"/>
        <w:outlineLvl w:val="1"/>
        <w:rPr>
          <w:b/>
          <w:bCs/>
          <w:sz w:val="32"/>
          <w:szCs w:val="32"/>
        </w:rPr>
      </w:pPr>
      <w:bookmarkStart w:id="43" w:name="_Toc109054433"/>
      <w:r>
        <w:rPr>
          <w:b/>
          <w:bCs/>
          <w:sz w:val="32"/>
          <w:szCs w:val="32"/>
        </w:rPr>
        <w:t xml:space="preserve">9.3 </w:t>
      </w:r>
      <w:r>
        <w:rPr>
          <w:rFonts w:hint="eastAsia"/>
          <w:b/>
          <w:bCs/>
          <w:sz w:val="32"/>
          <w:szCs w:val="32"/>
        </w:rPr>
        <w:t>责任追究</w:t>
      </w:r>
      <w:bookmarkEnd w:id="43"/>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民航生产经营单位未按照规定落实民航安全风险分级管控和隐患排查治理工作的，依法进行处理。</w:t>
      </w:r>
    </w:p>
    <w:p>
      <w:pPr>
        <w:pStyle w:val="2"/>
        <w:rPr>
          <w:rFonts w:ascii="黑体" w:hAnsi="黑体" w:eastAsia="黑体" w:cs="黑体"/>
          <w:sz w:val="32"/>
          <w:szCs w:val="32"/>
        </w:rPr>
      </w:pPr>
      <w:bookmarkStart w:id="44" w:name="_Toc109054434"/>
      <w:r>
        <w:rPr>
          <w:rFonts w:ascii="黑体" w:hAnsi="黑体" w:eastAsia="黑体" w:cs="黑体"/>
          <w:sz w:val="32"/>
          <w:szCs w:val="32"/>
        </w:rPr>
        <w:t>10.</w:t>
      </w:r>
      <w:r>
        <w:rPr>
          <w:rFonts w:hint="eastAsia" w:ascii="黑体" w:hAnsi="黑体" w:eastAsia="黑体" w:cs="黑体"/>
          <w:sz w:val="32"/>
          <w:szCs w:val="32"/>
        </w:rPr>
        <w:t>生效与废止</w:t>
      </w:r>
      <w:bookmarkEnd w:id="44"/>
    </w:p>
    <w:p>
      <w:pPr>
        <w:adjustRightInd w:val="0"/>
        <w:snapToGrid w:val="0"/>
        <w:spacing w:after="62" w:afterLines="2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本咨询通告自8月31日生效，《民航安全隐患排查治理长效机制建设指南》（民航规〔20</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11号</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废止</w:t>
      </w:r>
      <w:r>
        <w:rPr>
          <w:rFonts w:hint="eastAsia" w:ascii="仿宋_GB2312" w:hAnsi="仿宋_GB2312" w:eastAsia="仿宋_GB2312" w:cs="仿宋_GB2312"/>
          <w:sz w:val="32"/>
          <w:szCs w:val="32"/>
        </w:rPr>
        <w:t>。过渡期至2023年9月1日，在此期间各地区、各单位应当逐步完成相关制度、系统模块及历史数据等梳理和调整。</w:t>
      </w:r>
    </w:p>
    <w:p>
      <w:pPr>
        <w:adjustRightInd w:val="0"/>
        <w:snapToGrid w:val="0"/>
        <w:spacing w:after="62" w:afterLines="20" w:line="560" w:lineRule="exact"/>
        <w:ind w:firstLine="640" w:firstLineChars="200"/>
        <w:rPr>
          <w:rFonts w:ascii="仿宋_GB2312" w:hAnsi="仿宋_GB2312" w:eastAsia="仿宋_GB2312" w:cs="仿宋_GB2312"/>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2"/>
        <w:rPr>
          <w:rFonts w:ascii="黑体" w:hAnsi="黑体" w:eastAsia="黑体" w:cs="黑体"/>
          <w:sz w:val="32"/>
          <w:szCs w:val="32"/>
          <w:highlight w:val="none"/>
        </w:rPr>
      </w:pPr>
      <w:bookmarkStart w:id="45" w:name="_Toc109054435"/>
      <w:r>
        <w:rPr>
          <w:rFonts w:hint="eastAsia" w:ascii="黑体" w:hAnsi="黑体" w:eastAsia="黑体" w:cs="黑体"/>
          <w:sz w:val="32"/>
          <w:szCs w:val="32"/>
          <w:highlight w:val="none"/>
        </w:rPr>
        <w:t>附录</w:t>
      </w:r>
      <w:r>
        <w:rPr>
          <w:rFonts w:ascii="黑体" w:hAnsi="黑体" w:eastAsia="黑体" w:cs="黑体"/>
          <w:sz w:val="32"/>
          <w:szCs w:val="32"/>
          <w:highlight w:val="none"/>
        </w:rPr>
        <w:t>1 安全风险分级管控样例</w:t>
      </w:r>
      <w:r>
        <w:rPr>
          <w:rFonts w:hint="eastAsia" w:ascii="黑体" w:hAnsi="黑体" w:eastAsia="黑体" w:cs="黑体"/>
          <w:sz w:val="32"/>
          <w:szCs w:val="32"/>
          <w:highlight w:val="none"/>
        </w:rPr>
        <w:t>（危险源清单）</w:t>
      </w:r>
      <w:bookmarkEnd w:id="45"/>
    </w:p>
    <w:tbl>
      <w:tblPr>
        <w:tblStyle w:val="20"/>
        <w:tblpPr w:leftFromText="180" w:rightFromText="180" w:vertAnchor="text" w:tblpXSpec="left" w:tblpY="1"/>
        <w:tblOverlap w:val="never"/>
        <w:tblW w:w="0" w:type="auto"/>
        <w:tblInd w:w="0" w:type="dxa"/>
        <w:tblLayout w:type="autofit"/>
        <w:tblCellMar>
          <w:top w:w="0" w:type="dxa"/>
          <w:left w:w="108" w:type="dxa"/>
          <w:bottom w:w="0" w:type="dxa"/>
          <w:right w:w="108" w:type="dxa"/>
        </w:tblCellMar>
      </w:tblPr>
      <w:tblGrid>
        <w:gridCol w:w="443"/>
        <w:gridCol w:w="1679"/>
        <w:gridCol w:w="1701"/>
        <w:gridCol w:w="567"/>
        <w:gridCol w:w="992"/>
        <w:gridCol w:w="1701"/>
        <w:gridCol w:w="3260"/>
        <w:gridCol w:w="567"/>
        <w:gridCol w:w="567"/>
        <w:gridCol w:w="567"/>
        <w:gridCol w:w="1134"/>
        <w:gridCol w:w="4678"/>
        <w:gridCol w:w="567"/>
        <w:gridCol w:w="567"/>
        <w:gridCol w:w="567"/>
        <w:gridCol w:w="1134"/>
        <w:gridCol w:w="1670"/>
      </w:tblGrid>
      <w:tr>
        <w:tblPrEx>
          <w:tblCellMar>
            <w:top w:w="0" w:type="dxa"/>
            <w:left w:w="108" w:type="dxa"/>
            <w:bottom w:w="0" w:type="dxa"/>
            <w:right w:w="108" w:type="dxa"/>
          </w:tblCellMar>
        </w:tblPrEx>
        <w:trPr>
          <w:trHeight w:val="308" w:hRule="atLeast"/>
          <w:tblHead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编号</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危险源名称</w:t>
            </w:r>
          </w:p>
          <w:p>
            <w:pPr>
              <w:widowControl/>
              <w:jc w:val="center"/>
              <w:rPr>
                <w:rFonts w:ascii="仿宋_GB2312" w:hAnsi="仿宋_GB2312" w:eastAsia="仿宋_GB2312"/>
                <w:color w:val="000000"/>
                <w:kern w:val="0"/>
                <w:sz w:val="18"/>
                <w:szCs w:val="18"/>
              </w:rPr>
            </w:pPr>
            <w:r>
              <w:rPr>
                <w:rFonts w:hint="eastAsia" w:ascii="仿宋_GB2312" w:hAnsi="仿宋_GB2312" w:eastAsia="仿宋_GB2312"/>
                <w:color w:val="000000"/>
                <w:kern w:val="0"/>
                <w:sz w:val="18"/>
                <w:szCs w:val="18"/>
              </w:rPr>
              <w:t>（参照第三章危险源定义及注释</w:t>
            </w:r>
            <w:r>
              <w:rPr>
                <w:rFonts w:ascii="仿宋_GB2312" w:hAnsi="仿宋_GB2312" w:eastAsia="仿宋_GB2312"/>
                <w:color w:val="000000"/>
                <w:kern w:val="0"/>
                <w:sz w:val="18"/>
                <w:szCs w:val="18"/>
              </w:rPr>
              <w:t>4）</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危险源</w:t>
            </w:r>
            <w:r>
              <w:rPr>
                <w:rFonts w:hint="eastAsia" w:ascii="仿宋_GB2312" w:hAnsi="仿宋_GB2312" w:eastAsia="仿宋_GB2312"/>
                <w:b/>
                <w:bCs/>
                <w:color w:val="000000"/>
                <w:kern w:val="0"/>
                <w:szCs w:val="21"/>
              </w:rPr>
              <w:br w:type="textWrapping"/>
            </w:r>
            <w:r>
              <w:rPr>
                <w:rFonts w:hint="eastAsia" w:ascii="仿宋_GB2312" w:hAnsi="仿宋_GB2312" w:eastAsia="仿宋_GB2312"/>
                <w:b/>
                <w:bCs/>
                <w:color w:val="000000"/>
                <w:kern w:val="0"/>
                <w:szCs w:val="21"/>
              </w:rPr>
              <w:t>管理的主责部门</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重大</w:t>
            </w:r>
            <w:r>
              <w:rPr>
                <w:rFonts w:hint="eastAsia" w:ascii="仿宋_GB2312" w:hAnsi="仿宋_GB2312" w:eastAsia="仿宋_GB2312"/>
                <w:b/>
                <w:bCs/>
                <w:color w:val="000000"/>
                <w:kern w:val="0"/>
                <w:szCs w:val="21"/>
              </w:rPr>
              <w:br w:type="textWrapping"/>
            </w:r>
            <w:r>
              <w:rPr>
                <w:rFonts w:hint="eastAsia" w:ascii="仿宋_GB2312" w:hAnsi="仿宋_GB2312" w:eastAsia="仿宋_GB2312"/>
                <w:b/>
                <w:bCs/>
                <w:color w:val="000000"/>
                <w:kern w:val="0"/>
                <w:szCs w:val="21"/>
              </w:rPr>
              <w:t>危险源</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危险源识别</w:t>
            </w:r>
          </w:p>
        </w:tc>
        <w:tc>
          <w:tcPr>
            <w:tcW w:w="6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风险分析和风险评价分级</w:t>
            </w:r>
          </w:p>
        </w:tc>
        <w:tc>
          <w:tcPr>
            <w:tcW w:w="4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风险控制措施</w:t>
            </w:r>
          </w:p>
          <w:p>
            <w:pPr>
              <w:widowControl/>
              <w:jc w:val="center"/>
              <w:rPr>
                <w:rFonts w:ascii="仿宋_GB2312" w:hAnsi="仿宋_GB2312" w:eastAsia="仿宋_GB2312"/>
                <w:color w:val="000000"/>
                <w:kern w:val="0"/>
                <w:sz w:val="18"/>
                <w:szCs w:val="18"/>
              </w:rPr>
            </w:pPr>
            <w:r>
              <w:rPr>
                <w:rFonts w:hint="eastAsia" w:ascii="仿宋_GB2312" w:hAnsi="仿宋_GB2312" w:eastAsia="仿宋_GB2312"/>
                <w:color w:val="000000"/>
                <w:kern w:val="0"/>
                <w:sz w:val="18"/>
                <w:szCs w:val="18"/>
              </w:rPr>
              <w:t>（如风险处于可接受，可填写“不涉及”）</w:t>
            </w:r>
          </w:p>
        </w:tc>
        <w:tc>
          <w:tcPr>
            <w:tcW w:w="4505" w:type="dxa"/>
            <w:gridSpan w:val="5"/>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b/>
                <w:bCs/>
                <w:color w:val="000000"/>
                <w:kern w:val="0"/>
                <w:szCs w:val="21"/>
              </w:rPr>
            </w:pPr>
            <w:r>
              <w:rPr>
                <w:rFonts w:ascii="仿宋_GB2312" w:hAnsi="仿宋_GB2312" w:eastAsia="仿宋_GB2312"/>
                <w:b/>
                <w:bCs/>
                <w:color w:val="000000"/>
                <w:kern w:val="0"/>
                <w:szCs w:val="21"/>
              </w:rPr>
              <w:t>剩余风险</w:t>
            </w:r>
          </w:p>
          <w:p>
            <w:pPr>
              <w:widowControl/>
              <w:jc w:val="center"/>
              <w:textAlignment w:val="center"/>
              <w:rPr>
                <w:rFonts w:ascii="仿宋_GB2312" w:hAnsi="仿宋_GB2312" w:eastAsia="仿宋_GB2312"/>
                <w:b/>
                <w:bCs/>
                <w:color w:val="000000"/>
                <w:kern w:val="0"/>
                <w:szCs w:val="21"/>
              </w:rPr>
            </w:pPr>
            <w:r>
              <w:rPr>
                <w:rFonts w:ascii="仿宋_GB2312" w:hAnsi="仿宋_GB2312" w:eastAsia="仿宋_GB2312"/>
                <w:color w:val="000000"/>
                <w:kern w:val="0"/>
                <w:sz w:val="18"/>
                <w:szCs w:val="18"/>
              </w:rPr>
              <w:t>（</w:t>
            </w:r>
            <w:r>
              <w:rPr>
                <w:rFonts w:hint="eastAsia" w:ascii="仿宋_GB2312" w:hAnsi="仿宋_GB2312" w:eastAsia="仿宋_GB2312"/>
                <w:color w:val="000000"/>
                <w:kern w:val="0"/>
                <w:sz w:val="18"/>
                <w:szCs w:val="18"/>
              </w:rPr>
              <w:t>参照第三章剩余风险定义及注释</w:t>
            </w:r>
            <w:r>
              <w:rPr>
                <w:rFonts w:ascii="仿宋_GB2312" w:hAnsi="仿宋_GB2312" w:eastAsia="仿宋_GB2312"/>
                <w:color w:val="000000"/>
                <w:kern w:val="0"/>
                <w:sz w:val="18"/>
                <w:szCs w:val="18"/>
              </w:rPr>
              <w:t>）</w:t>
            </w:r>
          </w:p>
        </w:tc>
      </w:tr>
      <w:tr>
        <w:tblPrEx>
          <w:tblCellMar>
            <w:top w:w="0" w:type="dxa"/>
            <w:left w:w="108" w:type="dxa"/>
            <w:bottom w:w="0" w:type="dxa"/>
            <w:right w:w="108" w:type="dxa"/>
          </w:tblCellMar>
        </w:tblPrEx>
        <w:trPr>
          <w:trHeight w:val="270" w:hRule="atLeast"/>
          <w:tblHead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危险源</w:t>
            </w:r>
            <w:r>
              <w:rPr>
                <w:rFonts w:hint="eastAsia" w:ascii="仿宋_GB2312" w:hAnsi="仿宋_GB2312" w:eastAsia="仿宋_GB2312"/>
                <w:b/>
                <w:bCs/>
                <w:color w:val="000000"/>
                <w:kern w:val="0"/>
                <w:szCs w:val="21"/>
              </w:rPr>
              <w:br w:type="textWrapping"/>
            </w:r>
            <w:r>
              <w:rPr>
                <w:rFonts w:hint="eastAsia" w:ascii="仿宋_GB2312" w:hAnsi="仿宋_GB2312" w:eastAsia="仿宋_GB2312"/>
                <w:b/>
                <w:bCs/>
                <w:color w:val="000000"/>
                <w:kern w:val="0"/>
                <w:szCs w:val="21"/>
              </w:rPr>
              <w:t>来源</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可能导致的后果</w:t>
            </w:r>
            <w:r>
              <w:rPr>
                <w:rFonts w:hint="eastAsia" w:ascii="仿宋_GB2312" w:hAnsi="仿宋_GB2312" w:eastAsia="仿宋_GB2312"/>
                <w:color w:val="000000"/>
                <w:kern w:val="0"/>
                <w:sz w:val="18"/>
                <w:szCs w:val="18"/>
              </w:rPr>
              <w:t>（事故、征候、一般事件等）</w:t>
            </w:r>
          </w:p>
        </w:tc>
        <w:tc>
          <w:tcPr>
            <w:tcW w:w="3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现有风险控制措施</w:t>
            </w:r>
          </w:p>
          <w:p>
            <w:pPr>
              <w:widowControl/>
              <w:jc w:val="center"/>
              <w:rPr>
                <w:rFonts w:ascii="仿宋_GB2312" w:hAnsi="仿宋_GB2312" w:eastAsia="仿宋_GB2312"/>
                <w:b/>
                <w:bCs/>
                <w:color w:val="000000"/>
                <w:kern w:val="0"/>
                <w:szCs w:val="21"/>
              </w:rPr>
            </w:pPr>
            <w:r>
              <w:rPr>
                <w:rFonts w:hint="eastAsia" w:ascii="仿宋_GB2312" w:hAnsi="仿宋_GB2312" w:eastAsia="仿宋_GB2312"/>
                <w:color w:val="000000"/>
                <w:kern w:val="0"/>
                <w:sz w:val="18"/>
                <w:szCs w:val="18"/>
              </w:rPr>
              <w:t>（针对危险源已有的规章制度和操作规程、技术、培训等）</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风险分级</w:t>
            </w:r>
          </w:p>
          <w:p>
            <w:pPr>
              <w:widowControl/>
              <w:jc w:val="center"/>
              <w:rPr>
                <w:rFonts w:ascii="仿宋_GB2312" w:hAnsi="仿宋_GB2312" w:eastAsia="仿宋_GB2312"/>
                <w:color w:val="000000"/>
                <w:kern w:val="0"/>
                <w:sz w:val="18"/>
                <w:szCs w:val="18"/>
              </w:rPr>
            </w:pPr>
            <w:r>
              <w:rPr>
                <w:rFonts w:hint="eastAsia" w:ascii="仿宋_GB2312" w:hAnsi="仿宋_GB2312" w:eastAsia="仿宋_GB2312"/>
                <w:color w:val="000000"/>
                <w:kern w:val="0"/>
                <w:sz w:val="18"/>
                <w:szCs w:val="18"/>
              </w:rPr>
              <w:t>（参照第七章</w:t>
            </w:r>
            <w:r>
              <w:rPr>
                <w:rFonts w:ascii="仿宋_GB2312" w:hAnsi="仿宋_GB2312" w:eastAsia="仿宋_GB2312"/>
                <w:color w:val="000000"/>
                <w:kern w:val="0"/>
                <w:sz w:val="18"/>
                <w:szCs w:val="18"/>
              </w:rPr>
              <w:t>7.4</w:t>
            </w:r>
            <w:r>
              <w:rPr>
                <w:rFonts w:hint="eastAsia" w:ascii="仿宋_GB2312" w:hAnsi="仿宋_GB2312" w:eastAsia="仿宋_GB2312"/>
                <w:color w:val="000000"/>
                <w:kern w:val="0"/>
                <w:sz w:val="18"/>
                <w:szCs w:val="18"/>
              </w:rPr>
              <w:t>）</w:t>
            </w:r>
          </w:p>
        </w:tc>
        <w:tc>
          <w:tcPr>
            <w:tcW w:w="4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4505" w:type="dxa"/>
            <w:gridSpan w:val="5"/>
            <w:vMerge w:val="continue"/>
            <w:tcBorders>
              <w:left w:val="single" w:color="000000" w:sz="4" w:space="0"/>
              <w:bottom w:val="single" w:color="000000" w:sz="4" w:space="0"/>
              <w:right w:val="single" w:color="000000" w:sz="4" w:space="0"/>
            </w:tcBorders>
          </w:tcPr>
          <w:p>
            <w:pPr>
              <w:widowControl/>
              <w:jc w:val="center"/>
              <w:rPr>
                <w:rFonts w:ascii="仿宋_GB2312" w:hAnsi="仿宋_GB2312" w:eastAsia="仿宋_GB2312"/>
                <w:color w:val="000000"/>
                <w:kern w:val="0"/>
                <w:sz w:val="18"/>
                <w:szCs w:val="18"/>
              </w:rPr>
            </w:pPr>
          </w:p>
        </w:tc>
      </w:tr>
      <w:tr>
        <w:tblPrEx>
          <w:tblCellMar>
            <w:top w:w="0" w:type="dxa"/>
            <w:left w:w="108" w:type="dxa"/>
            <w:bottom w:w="0" w:type="dxa"/>
            <w:right w:w="108" w:type="dxa"/>
          </w:tblCellMar>
        </w:tblPrEx>
        <w:trPr>
          <w:trHeight w:val="1545" w:hRule="atLeast"/>
          <w:tblHead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3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可能性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严重性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风险值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风险评价分级</w:t>
            </w:r>
          </w:p>
        </w:tc>
        <w:tc>
          <w:tcPr>
            <w:tcW w:w="4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b/>
                <w:bCs/>
                <w:color w:val="000000"/>
                <w:kern w:val="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可能性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严重性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风险值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风险评价分级</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是否衍生新的危险源</w:t>
            </w:r>
          </w:p>
          <w:p>
            <w:pPr>
              <w:widowControl/>
              <w:jc w:val="center"/>
              <w:rPr>
                <w:rFonts w:ascii="仿宋_GB2312" w:hAnsi="仿宋_GB2312" w:eastAsia="仿宋_GB2312"/>
                <w:color w:val="000000"/>
                <w:kern w:val="0"/>
                <w:sz w:val="18"/>
                <w:szCs w:val="18"/>
              </w:rPr>
            </w:pPr>
            <w:r>
              <w:rPr>
                <w:rFonts w:hint="eastAsia" w:ascii="仿宋_GB2312" w:hAnsi="仿宋_GB2312" w:eastAsia="仿宋_GB2312"/>
                <w:color w:val="000000"/>
                <w:kern w:val="0"/>
                <w:sz w:val="18"/>
                <w:szCs w:val="18"/>
              </w:rPr>
              <w:t>（如是，填写新危险源名称和编号）</w:t>
            </w:r>
          </w:p>
        </w:tc>
      </w:tr>
      <w:tr>
        <w:tblPrEx>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ascii="仿宋_GB2312" w:hAnsi="仿宋_GB2312" w:eastAsia="仿宋_GB2312"/>
                <w:color w:val="000000"/>
                <w:kern w:val="0"/>
                <w:szCs w:val="21"/>
                <w:lang w:val="en-US"/>
              </w:rPr>
              <w:t>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lang w:val="en-US" w:eastAsia="zh-CN"/>
              </w:rPr>
              <w:t>xx、xx等3个机场冬季</w:t>
            </w:r>
            <w:r>
              <w:rPr>
                <w:rFonts w:hint="eastAsia" w:ascii="仿宋_GB2312" w:hAnsi="仿宋_GB2312" w:eastAsia="仿宋_GB2312"/>
                <w:color w:val="000000"/>
                <w:kern w:val="0"/>
                <w:szCs w:val="21"/>
              </w:rPr>
              <w:t>湿滑或污染跑道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飞行部（航空公司）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事件调查</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lang w:val="en-US" w:eastAsia="zh-CN"/>
              </w:rPr>
              <w:t>飞机</w:t>
            </w:r>
            <w:r>
              <w:rPr>
                <w:rFonts w:hint="eastAsia" w:ascii="仿宋_GB2312" w:hAnsi="仿宋_GB2312" w:eastAsia="仿宋_GB2312"/>
                <w:color w:val="000000"/>
                <w:kern w:val="0"/>
                <w:szCs w:val="21"/>
              </w:rPr>
              <w:t>冲偏出跑道</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1.模拟机训练中有湿滑跑道的训练科目。</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2.FOCM手册中有湿滑跑道的起降标准和程序。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val="en-US" w:eastAsia="zh-CN"/>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val="en-US" w:eastAsia="zh-CN"/>
              </w:rPr>
              <w:t>B</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val="en-US" w:eastAsia="zh-CN"/>
              </w:rPr>
              <w:t>4B</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不可接受风险</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rPr>
              <w:t>1.</w:t>
            </w:r>
            <w:r>
              <w:rPr>
                <w:rFonts w:hint="eastAsia" w:ascii="仿宋_GB2312" w:hAnsi="仿宋_GB2312" w:eastAsia="仿宋_GB2312"/>
                <w:color w:val="000000"/>
                <w:kern w:val="0"/>
                <w:szCs w:val="21"/>
                <w:lang w:eastAsia="zh-CN"/>
              </w:rPr>
              <w:t>一个定检周期内有过刹车系统故障的飞机不运行该机场。</w:t>
            </w:r>
          </w:p>
          <w:p>
            <w:pPr>
              <w:widowControl/>
              <w:jc w:val="left"/>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val="en-US" w:eastAsia="zh-CN"/>
              </w:rPr>
              <w:t>2.结合</w:t>
            </w:r>
            <w:r>
              <w:rPr>
                <w:rFonts w:hint="eastAsia" w:ascii="仿宋_GB2312" w:hAnsi="仿宋_GB2312" w:eastAsia="仿宋_GB2312"/>
                <w:color w:val="000000"/>
                <w:kern w:val="0"/>
                <w:szCs w:val="21"/>
              </w:rPr>
              <w:t>QAR监控状况，在模拟机复训中增加部分飞行员湿滑跑道</w:t>
            </w:r>
            <w:r>
              <w:rPr>
                <w:rFonts w:hint="eastAsia" w:ascii="仿宋_GB2312" w:hAnsi="仿宋_GB2312" w:eastAsia="仿宋_GB2312"/>
                <w:color w:val="000000"/>
                <w:kern w:val="0"/>
                <w:szCs w:val="21"/>
                <w:lang w:eastAsia="zh-CN"/>
              </w:rPr>
              <w:t>起降</w:t>
            </w:r>
            <w:r>
              <w:rPr>
                <w:rFonts w:hint="eastAsia" w:ascii="仿宋_GB2312" w:hAnsi="仿宋_GB2312" w:eastAsia="仿宋_GB2312"/>
                <w:color w:val="000000"/>
                <w:kern w:val="0"/>
                <w:szCs w:val="21"/>
              </w:rPr>
              <w:t>训练</w:t>
            </w:r>
            <w:r>
              <w:rPr>
                <w:rFonts w:hint="eastAsia" w:ascii="仿宋_GB2312" w:hAnsi="仿宋_GB2312" w:eastAsia="仿宋_GB2312"/>
                <w:color w:val="000000"/>
                <w:kern w:val="0"/>
                <w:szCs w:val="21"/>
                <w:lang w:eastAsia="zh-CN"/>
              </w:rPr>
              <w:t>不少于</w:t>
            </w:r>
            <w:r>
              <w:rPr>
                <w:rFonts w:hint="eastAsia" w:ascii="仿宋_GB2312" w:hAnsi="仿宋_GB2312" w:eastAsia="仿宋_GB2312"/>
                <w:color w:val="000000"/>
                <w:kern w:val="0"/>
                <w:szCs w:val="21"/>
                <w:lang w:val="en-US" w:eastAsia="zh-CN"/>
              </w:rPr>
              <w:t>2次/场</w:t>
            </w:r>
            <w:r>
              <w:rPr>
                <w:rFonts w:hint="eastAsia" w:ascii="仿宋_GB2312" w:hAnsi="仿宋_GB2312" w:eastAsia="仿宋_GB2312"/>
                <w:color w:val="000000"/>
                <w:kern w:val="0"/>
                <w:szCs w:val="21"/>
              </w:rPr>
              <w:t>；</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lang w:val="en-US" w:eastAsia="zh-CN"/>
              </w:rPr>
              <w:t>3</w:t>
            </w:r>
            <w:r>
              <w:rPr>
                <w:rFonts w:hint="eastAsia" w:ascii="仿宋_GB2312" w:hAnsi="仿宋_GB2312" w:eastAsia="仿宋_GB2312"/>
                <w:color w:val="000000"/>
                <w:kern w:val="0"/>
                <w:szCs w:val="21"/>
              </w:rPr>
              <w:t>.在换季学习中增加湿滑跑道着陆的学习内容</w:t>
            </w:r>
            <w:r>
              <w:rPr>
                <w:rFonts w:hint="eastAsia" w:ascii="仿宋_GB2312" w:hAnsi="仿宋_GB2312" w:eastAsia="仿宋_GB2312"/>
                <w:color w:val="000000"/>
                <w:kern w:val="0"/>
                <w:szCs w:val="21"/>
                <w:lang w:eastAsia="zh-CN"/>
              </w:rPr>
              <w:t>，培训</w:t>
            </w:r>
            <w:r>
              <w:rPr>
                <w:rFonts w:hint="eastAsia" w:ascii="仿宋_GB2312" w:hAnsi="仿宋_GB2312" w:eastAsia="仿宋_GB2312"/>
                <w:color w:val="000000"/>
                <w:kern w:val="0"/>
                <w:szCs w:val="21"/>
                <w:lang w:val="en-US" w:eastAsia="zh-CN"/>
              </w:rPr>
              <w:t>飞行机组强化</w:t>
            </w:r>
            <w:r>
              <w:rPr>
                <w:rFonts w:hint="eastAsia" w:ascii="仿宋_GB2312" w:hAnsi="仿宋_GB2312" w:eastAsia="仿宋_GB2312"/>
                <w:color w:val="000000"/>
                <w:kern w:val="0"/>
                <w:szCs w:val="21"/>
              </w:rPr>
              <w:t>主动了解天气变化趋势和雪情通告</w:t>
            </w:r>
            <w:r>
              <w:rPr>
                <w:rFonts w:hint="eastAsia" w:ascii="仿宋_GB2312" w:hAnsi="仿宋_GB2312" w:eastAsia="仿宋_GB2312"/>
                <w:color w:val="000000"/>
                <w:kern w:val="0"/>
                <w:szCs w:val="21"/>
                <w:lang w:eastAsia="zh-CN"/>
              </w:rPr>
              <w:t>的意识。</w:t>
            </w:r>
          </w:p>
          <w:p>
            <w:pPr>
              <w:widowControl/>
              <w:jc w:val="left"/>
              <w:rPr>
                <w:rFonts w:hint="eastAsia"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lang w:val="en-US" w:eastAsia="zh-CN"/>
              </w:rPr>
              <w:t>4.</w:t>
            </w:r>
            <w:r>
              <w:rPr>
                <w:rFonts w:hint="eastAsia" w:ascii="仿宋_GB2312" w:hAnsi="仿宋_GB2312" w:eastAsia="仿宋_GB2312"/>
                <w:color w:val="000000"/>
                <w:kern w:val="0"/>
                <w:szCs w:val="21"/>
              </w:rPr>
              <w:t>细化飞行准备，</w:t>
            </w:r>
            <w:r>
              <w:rPr>
                <w:rFonts w:hint="eastAsia" w:ascii="仿宋_GB2312" w:hAnsi="仿宋_GB2312" w:eastAsia="仿宋_GB2312"/>
                <w:color w:val="000000"/>
                <w:kern w:val="0"/>
                <w:szCs w:val="21"/>
                <w:lang w:eastAsia="zh-CN"/>
              </w:rPr>
              <w:t>飞行机组要</w:t>
            </w:r>
            <w:r>
              <w:rPr>
                <w:rFonts w:hint="eastAsia" w:ascii="仿宋_GB2312" w:hAnsi="仿宋_GB2312" w:eastAsia="仿宋_GB2312"/>
                <w:color w:val="000000"/>
                <w:kern w:val="0"/>
                <w:szCs w:val="21"/>
              </w:rPr>
              <w:t>准确识读新的道面状况评估报告和雪情通告相关内容</w:t>
            </w:r>
            <w:r>
              <w:rPr>
                <w:rFonts w:hint="eastAsia" w:ascii="仿宋_GB2312" w:hAnsi="仿宋_GB2312" w:eastAsia="仿宋_GB2312"/>
                <w:color w:val="000000"/>
                <w:kern w:val="0"/>
                <w:szCs w:val="21"/>
                <w:lang w:eastAsia="zh-CN"/>
              </w:rPr>
              <w:t>；签派员要讲解帮助机组</w:t>
            </w:r>
            <w:r>
              <w:rPr>
                <w:rFonts w:hint="eastAsia" w:ascii="仿宋_GB2312" w:hAnsi="仿宋_GB2312" w:eastAsia="仿宋_GB2312"/>
                <w:color w:val="000000"/>
                <w:kern w:val="0"/>
                <w:szCs w:val="21"/>
              </w:rPr>
              <w:t>掌握污染道面变化情况和污染物导致跑道变窄的信息。</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lang w:val="en-US" w:eastAsia="zh-CN"/>
              </w:rPr>
              <w:t>5.</w:t>
            </w:r>
            <w:r>
              <w:rPr>
                <w:rFonts w:hint="eastAsia" w:ascii="仿宋_GB2312" w:hAnsi="仿宋_GB2312" w:eastAsia="仿宋_GB2312"/>
                <w:color w:val="000000"/>
                <w:kern w:val="0"/>
                <w:szCs w:val="21"/>
              </w:rPr>
              <w:t>在现有标准框架下，</w:t>
            </w:r>
            <w:r>
              <w:rPr>
                <w:rFonts w:hint="eastAsia" w:ascii="仿宋_GB2312" w:hAnsi="仿宋_GB2312" w:eastAsia="仿宋_GB2312"/>
                <w:color w:val="000000"/>
                <w:kern w:val="0"/>
                <w:szCs w:val="21"/>
                <w:lang w:eastAsia="zh-CN"/>
              </w:rPr>
              <w:t>进一步</w:t>
            </w:r>
            <w:r>
              <w:rPr>
                <w:rFonts w:hint="eastAsia" w:ascii="仿宋_GB2312" w:hAnsi="仿宋_GB2312" w:eastAsia="仿宋_GB2312"/>
                <w:color w:val="000000"/>
                <w:kern w:val="0"/>
                <w:szCs w:val="21"/>
              </w:rPr>
              <w:t>明确湿跑道和污染跑道上的运行限制与侧风标准，</w:t>
            </w:r>
            <w:r>
              <w:rPr>
                <w:rFonts w:hint="eastAsia" w:ascii="仿宋_GB2312" w:hAnsi="仿宋_GB2312" w:eastAsia="仿宋_GB2312"/>
                <w:color w:val="000000"/>
                <w:kern w:val="0"/>
                <w:szCs w:val="21"/>
                <w:lang w:eastAsia="zh-CN"/>
              </w:rPr>
              <w:t>作为冬季飞行前准备抽查项，抽查率不低于</w:t>
            </w:r>
            <w:r>
              <w:rPr>
                <w:rFonts w:hint="eastAsia" w:ascii="仿宋_GB2312" w:hAnsi="仿宋_GB2312" w:eastAsia="仿宋_GB2312"/>
                <w:color w:val="000000"/>
                <w:kern w:val="0"/>
                <w:szCs w:val="21"/>
                <w:lang w:val="en-US" w:eastAsia="zh-CN"/>
              </w:rPr>
              <w:t>50%。</w:t>
            </w:r>
          </w:p>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lang w:val="en-US" w:eastAsia="zh-CN"/>
              </w:rPr>
              <w:t>6.下发警示，要求配载部门和飞行机组严格按程序</w:t>
            </w:r>
            <w:r>
              <w:rPr>
                <w:rFonts w:hint="eastAsia" w:ascii="仿宋_GB2312" w:hAnsi="仿宋_GB2312" w:eastAsia="仿宋_GB2312"/>
                <w:color w:val="000000"/>
                <w:kern w:val="0"/>
                <w:szCs w:val="21"/>
              </w:rPr>
              <w:t>做好性能分析，防范起降时偏出跑道风险。</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val="en-US" w:eastAsia="zh-CN"/>
              </w:rPr>
              <w:t>B</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rPr>
              <w:t>1</w:t>
            </w:r>
            <w:r>
              <w:rPr>
                <w:rFonts w:hint="eastAsia" w:ascii="仿宋_GB2312" w:hAnsi="仿宋_GB2312" w:eastAsia="仿宋_GB2312"/>
                <w:color w:val="000000"/>
                <w:kern w:val="0"/>
                <w:szCs w:val="21"/>
                <w:lang w:val="en-US" w:eastAsia="zh-CN"/>
              </w:rPr>
              <w:t>B</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eastAsia="zh-CN"/>
              </w:rPr>
              <w:t>可接受</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p>
        </w:tc>
      </w:tr>
      <w:tr>
        <w:tblPrEx>
          <w:tblCellMar>
            <w:top w:w="0" w:type="dxa"/>
            <w:left w:w="108" w:type="dxa"/>
            <w:bottom w:w="0" w:type="dxa"/>
            <w:right w:w="108" w:type="dxa"/>
          </w:tblCellMar>
        </w:tblPrEx>
        <w:trPr>
          <w:trHeight w:val="69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highlight w:val="none"/>
              </w:rPr>
            </w:pPr>
            <w:r>
              <w:rPr>
                <w:rFonts w:ascii="仿宋_GB2312" w:hAnsi="仿宋_GB2312" w:eastAsia="仿宋_GB2312"/>
                <w:color w:val="000000"/>
                <w:kern w:val="0"/>
                <w:szCs w:val="21"/>
                <w:highlight w:val="none"/>
                <w:lang w:val="en-US"/>
              </w:rPr>
              <w:t>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仿宋_GB2312" w:hAnsi="仿宋_GB2312" w:eastAsia="仿宋_GB2312"/>
                <w:color w:val="000000"/>
                <w:kern w:val="0"/>
                <w:szCs w:val="21"/>
                <w:highlight w:val="none"/>
                <w:lang w:val="en-US" w:eastAsia="zh-CN"/>
              </w:rPr>
            </w:pPr>
            <w:r>
              <w:rPr>
                <w:rFonts w:hint="eastAsia" w:ascii="仿宋_GB2312" w:hAnsi="仿宋_GB2312" w:eastAsia="仿宋_GB2312"/>
                <w:color w:val="000000"/>
                <w:kern w:val="0"/>
                <w:szCs w:val="21"/>
                <w:highlight w:val="none"/>
                <w:lang w:val="en-US" w:eastAsia="zh-CN"/>
              </w:rPr>
              <w:t>XX机场春季低空风切变、强乱流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highlight w:val="none"/>
              </w:rPr>
            </w:pPr>
            <w:r>
              <w:rPr>
                <w:rFonts w:hint="eastAsia" w:ascii="仿宋_GB2312" w:hAnsi="仿宋_GB2312" w:eastAsia="仿宋_GB2312"/>
                <w:color w:val="000000"/>
                <w:kern w:val="0"/>
                <w:szCs w:val="21"/>
                <w:highlight w:val="none"/>
              </w:rPr>
              <w:t>飞行部（航空公司）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lang w:val="en-US" w:eastAsia="zh-CN"/>
              </w:rPr>
              <w:t>自愿报告统计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lang w:val="en-US" w:eastAsia="zh-CN"/>
              </w:rPr>
              <w:t>飞机可控撞地</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lang w:val="en-US" w:eastAsia="zh-CN"/>
              </w:rPr>
              <w:t>1.运行手册天气标准</w:t>
            </w:r>
          </w:p>
          <w:p>
            <w:pPr>
              <w:widowControl/>
              <w:jc w:val="left"/>
              <w:rPr>
                <w:rFonts w:hint="eastAsia"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lang w:val="en-US" w:eastAsia="zh-CN"/>
              </w:rPr>
              <w:t>2.机组训练手册颠簸、风切变处置程序</w:t>
            </w:r>
          </w:p>
          <w:p>
            <w:pPr>
              <w:widowControl/>
              <w:jc w:val="left"/>
              <w:rPr>
                <w:rFonts w:hint="default"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lang w:val="en-US" w:eastAsia="zh-CN"/>
              </w:rPr>
              <w:t>3.模拟机复训科目</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val="en-US" w:eastAsia="zh-CN"/>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lang w:val="en-US" w:eastAsia="zh-CN"/>
              </w:rPr>
              <w:t>A</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lang w:val="en-US" w:eastAsia="zh-CN"/>
              </w:rPr>
              <w:t>2A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缓解后可接受风险</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rPr>
              <w:t>1.</w:t>
            </w:r>
            <w:r>
              <w:rPr>
                <w:rFonts w:hint="eastAsia" w:ascii="仿宋_GB2312" w:hAnsi="仿宋_GB2312" w:eastAsia="仿宋_GB2312"/>
                <w:color w:val="000000"/>
                <w:kern w:val="0"/>
                <w:szCs w:val="21"/>
                <w:lang w:eastAsia="zh-CN"/>
              </w:rPr>
              <w:t>报告及数据分析中乱流、风切变最集中的</w:t>
            </w:r>
            <w:r>
              <w:rPr>
                <w:rFonts w:hint="eastAsia" w:ascii="仿宋_GB2312" w:hAnsi="仿宋_GB2312" w:eastAsia="仿宋_GB2312"/>
                <w:color w:val="000000"/>
                <w:kern w:val="0"/>
                <w:szCs w:val="21"/>
                <w:lang w:val="en-US" w:eastAsia="zh-CN"/>
              </w:rPr>
              <w:t>3-4月份，调整部分航班时刻，起降时刻避开下午风险最高的时段，降低遇到极端天气的可能性。</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w:t>
            </w:r>
            <w:r>
              <w:rPr>
                <w:rFonts w:hint="eastAsia" w:ascii="仿宋_GB2312" w:hAnsi="仿宋_GB2312" w:eastAsia="仿宋_GB2312"/>
                <w:color w:val="000000"/>
                <w:kern w:val="0"/>
                <w:szCs w:val="21"/>
                <w:lang w:eastAsia="zh-CN"/>
              </w:rPr>
              <w:t>并增加签派席位专项监控程序，预报、实况等存在风切变或大风时及时提醒机组。</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3.</w:t>
            </w:r>
            <w:r>
              <w:rPr>
                <w:rFonts w:hint="eastAsia" w:ascii="仿宋_GB2312" w:hAnsi="仿宋_GB2312" w:eastAsia="仿宋_GB2312"/>
                <w:color w:val="000000"/>
                <w:kern w:val="0"/>
                <w:szCs w:val="21"/>
                <w:lang w:eastAsia="zh-CN"/>
              </w:rPr>
              <w:t>排班确认</w:t>
            </w:r>
            <w:r>
              <w:rPr>
                <w:rFonts w:hint="eastAsia" w:ascii="仿宋_GB2312" w:hAnsi="仿宋_GB2312" w:eastAsia="仿宋_GB2312"/>
                <w:color w:val="000000"/>
                <w:kern w:val="0"/>
                <w:szCs w:val="21"/>
                <w:lang w:val="en-US" w:eastAsia="zh-CN"/>
              </w:rPr>
              <w:t>3-4月份执飞该机场的机组，最近一次复训中无风切变处置、稳定进近方面的不符合记录。且航前准备时提前向机组发放xx机场</w:t>
            </w:r>
            <w:r>
              <w:rPr>
                <w:rFonts w:hint="eastAsia" w:ascii="仿宋_GB2312" w:hAnsi="仿宋_GB2312" w:eastAsia="仿宋_GB2312"/>
                <w:color w:val="000000"/>
                <w:kern w:val="0"/>
                <w:szCs w:val="21"/>
                <w:lang w:eastAsia="zh-CN"/>
              </w:rPr>
              <w:t>航前准备提示单。</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C</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1C</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可接受</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p>
        </w:tc>
      </w:tr>
    </w:tbl>
    <w:p>
      <w:pPr>
        <w:adjustRightInd w:val="0"/>
        <w:snapToGrid w:val="0"/>
        <w:spacing w:after="62" w:afterLines="20" w:line="560" w:lineRule="exact"/>
        <w:rPr>
          <w:rFonts w:ascii="仿宋_GB2312" w:hAnsi="仿宋_GB2312" w:eastAsia="仿宋_GB2312" w:cs="仿宋_GB2312"/>
          <w:sz w:val="32"/>
          <w:szCs w:val="32"/>
        </w:rPr>
        <w:sectPr>
          <w:footerReference r:id="rId6" w:type="default"/>
          <w:pgSz w:w="23811" w:h="16838" w:orient="landscape"/>
          <w:pgMar w:top="720" w:right="720" w:bottom="720" w:left="720" w:header="851" w:footer="992" w:gutter="0"/>
          <w:pgNumType w:fmt="numberInDash"/>
          <w:cols w:space="425" w:num="1"/>
          <w:docGrid w:type="lines" w:linePitch="312" w:charSpace="0"/>
        </w:sectPr>
      </w:pPr>
      <w:r>
        <w:rPr>
          <w:rFonts w:ascii="仿宋_GB2312" w:hAnsi="仿宋_GB2312" w:eastAsia="仿宋_GB2312" w:cs="仿宋_GB2312"/>
          <w:sz w:val="32"/>
          <w:szCs w:val="32"/>
        </w:rPr>
        <w:br w:type="textWrapping" w:clear="all"/>
      </w:r>
    </w:p>
    <w:p>
      <w:pPr>
        <w:pStyle w:val="2"/>
        <w:rPr>
          <w:rFonts w:ascii="黑体" w:hAnsi="黑体" w:eastAsia="黑体" w:cs="黑体"/>
          <w:sz w:val="32"/>
          <w:szCs w:val="32"/>
          <w:highlight w:val="none"/>
        </w:rPr>
      </w:pPr>
      <w:bookmarkStart w:id="46" w:name="_Toc109054436"/>
      <w:r>
        <w:rPr>
          <w:rFonts w:hint="eastAsia" w:ascii="黑体" w:hAnsi="黑体" w:eastAsia="黑体" w:cs="黑体"/>
          <w:sz w:val="32"/>
          <w:szCs w:val="32"/>
          <w:highlight w:val="none"/>
        </w:rPr>
        <w:t>附录</w:t>
      </w:r>
      <w:r>
        <w:rPr>
          <w:rFonts w:ascii="黑体" w:hAnsi="黑体" w:eastAsia="黑体" w:cs="黑体"/>
          <w:sz w:val="32"/>
          <w:szCs w:val="32"/>
          <w:highlight w:val="none"/>
        </w:rPr>
        <w:t>2 安全隐患</w:t>
      </w:r>
      <w:r>
        <w:rPr>
          <w:rFonts w:hint="eastAsia" w:ascii="黑体" w:hAnsi="黑体" w:eastAsia="黑体" w:cs="黑体"/>
          <w:sz w:val="32"/>
          <w:szCs w:val="32"/>
          <w:highlight w:val="none"/>
        </w:rPr>
        <w:t>排查治理</w:t>
      </w:r>
      <w:r>
        <w:rPr>
          <w:rFonts w:ascii="黑体" w:hAnsi="黑体" w:eastAsia="黑体" w:cs="黑体"/>
          <w:sz w:val="32"/>
          <w:szCs w:val="32"/>
          <w:highlight w:val="none"/>
        </w:rPr>
        <w:t>样例</w:t>
      </w:r>
      <w:r>
        <w:rPr>
          <w:rFonts w:hint="eastAsia" w:ascii="黑体" w:hAnsi="黑体" w:eastAsia="黑体" w:cs="黑体"/>
          <w:sz w:val="32"/>
          <w:szCs w:val="32"/>
          <w:highlight w:val="none"/>
        </w:rPr>
        <w:t>（安全隐患清单）</w:t>
      </w:r>
      <w:bookmarkEnd w:id="46"/>
    </w:p>
    <w:tbl>
      <w:tblPr>
        <w:tblStyle w:val="20"/>
        <w:tblW w:w="22119" w:type="dxa"/>
        <w:jc w:val="center"/>
        <w:tblLayout w:type="fixed"/>
        <w:tblCellMar>
          <w:top w:w="0" w:type="dxa"/>
          <w:left w:w="108" w:type="dxa"/>
          <w:bottom w:w="0" w:type="dxa"/>
          <w:right w:w="108" w:type="dxa"/>
        </w:tblCellMar>
      </w:tblPr>
      <w:tblGrid>
        <w:gridCol w:w="425"/>
        <w:gridCol w:w="1408"/>
        <w:gridCol w:w="1423"/>
        <w:gridCol w:w="1423"/>
        <w:gridCol w:w="2158"/>
        <w:gridCol w:w="1890"/>
        <w:gridCol w:w="1290"/>
        <w:gridCol w:w="840"/>
        <w:gridCol w:w="1050"/>
        <w:gridCol w:w="710"/>
        <w:gridCol w:w="1045"/>
        <w:gridCol w:w="2073"/>
        <w:gridCol w:w="867"/>
        <w:gridCol w:w="795"/>
        <w:gridCol w:w="750"/>
        <w:gridCol w:w="975"/>
        <w:gridCol w:w="2204"/>
        <w:gridCol w:w="429"/>
        <w:gridCol w:w="364"/>
      </w:tblGrid>
      <w:tr>
        <w:tblPrEx>
          <w:tblCellMar>
            <w:top w:w="0" w:type="dxa"/>
            <w:left w:w="108" w:type="dxa"/>
            <w:bottom w:w="0" w:type="dxa"/>
            <w:right w:w="108" w:type="dxa"/>
          </w:tblCellMar>
        </w:tblPrEx>
        <w:trPr>
          <w:trHeight w:val="1515" w:hRule="atLeast"/>
          <w:tblHeader/>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编号</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安全隐患名称</w:t>
            </w:r>
          </w:p>
          <w:p>
            <w:pPr>
              <w:widowControl/>
              <w:jc w:val="center"/>
              <w:rPr>
                <w:rFonts w:ascii="仿宋_GB2312" w:hAnsi="仿宋_GB2312" w:eastAsia="仿宋_GB2312"/>
                <w:b/>
                <w:bCs/>
                <w:color w:val="000000"/>
                <w:kern w:val="0"/>
                <w:szCs w:val="21"/>
              </w:rPr>
            </w:pPr>
            <w:r>
              <w:rPr>
                <w:rFonts w:hint="eastAsia" w:ascii="仿宋_GB2312" w:hAnsi="仿宋_GB2312" w:eastAsia="仿宋_GB2312"/>
                <w:color w:val="000000"/>
                <w:kern w:val="0"/>
                <w:sz w:val="18"/>
                <w:szCs w:val="18"/>
              </w:rPr>
              <w:t>（参照第三章安全隐患定义及注释</w:t>
            </w:r>
            <w:r>
              <w:rPr>
                <w:rFonts w:ascii="仿宋_GB2312" w:hAnsi="仿宋_GB2312" w:eastAsia="仿宋_GB2312"/>
                <w:color w:val="000000"/>
                <w:kern w:val="0"/>
                <w:sz w:val="18"/>
                <w:szCs w:val="18"/>
              </w:rPr>
              <w:t>3</w:t>
            </w:r>
            <w:r>
              <w:rPr>
                <w:rFonts w:hint="eastAsia" w:ascii="仿宋_GB2312" w:hAnsi="仿宋_GB2312" w:eastAsia="仿宋_GB2312"/>
                <w:color w:val="000000"/>
                <w:kern w:val="0"/>
                <w:sz w:val="18"/>
                <w:szCs w:val="18"/>
              </w:rPr>
              <w:t>）</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重大安全隐患</w:t>
            </w:r>
          </w:p>
          <w:p>
            <w:pPr>
              <w:widowControl/>
              <w:jc w:val="center"/>
              <w:rPr>
                <w:rFonts w:ascii="仿宋_GB2312" w:hAnsi="仿宋_GB2312" w:eastAsia="仿宋_GB2312"/>
                <w:b/>
                <w:bCs/>
                <w:color w:val="000000"/>
                <w:kern w:val="0"/>
                <w:szCs w:val="21"/>
              </w:rPr>
            </w:pPr>
            <w:r>
              <w:rPr>
                <w:rFonts w:hint="eastAsia" w:ascii="仿宋_GB2312" w:hAnsi="仿宋_GB2312" w:eastAsia="仿宋_GB2312"/>
                <w:color w:val="000000"/>
                <w:kern w:val="0"/>
                <w:sz w:val="18"/>
                <w:szCs w:val="18"/>
              </w:rPr>
              <w:t>（参照第三章重大安全隐患定义）</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隐患的类别</w:t>
            </w:r>
            <w:r>
              <w:rPr>
                <w:rFonts w:hint="eastAsia" w:ascii="仿宋_GB2312" w:hAnsi="仿宋_GB2312" w:eastAsia="仿宋_GB2312"/>
                <w:color w:val="000000"/>
                <w:kern w:val="0"/>
                <w:sz w:val="18"/>
                <w:szCs w:val="18"/>
              </w:rPr>
              <w:t>（参照第八章</w:t>
            </w:r>
            <w:r>
              <w:rPr>
                <w:rFonts w:ascii="仿宋_GB2312" w:hAnsi="仿宋_GB2312" w:eastAsia="仿宋_GB2312"/>
                <w:color w:val="000000"/>
                <w:kern w:val="0"/>
                <w:sz w:val="18"/>
                <w:szCs w:val="18"/>
              </w:rPr>
              <w:t>8.4</w:t>
            </w:r>
            <w:r>
              <w:rPr>
                <w:rFonts w:hint="eastAsia" w:ascii="仿宋_GB2312" w:hAnsi="仿宋_GB2312" w:eastAsia="仿宋_GB2312"/>
                <w:color w:val="000000"/>
                <w:kern w:val="0"/>
                <w:sz w:val="18"/>
                <w:szCs w:val="18"/>
              </w:rPr>
              <w:t>）</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原因分析</w:t>
            </w:r>
          </w:p>
          <w:p>
            <w:pPr>
              <w:widowControl/>
              <w:jc w:val="center"/>
              <w:rPr>
                <w:rFonts w:ascii="仿宋_GB2312" w:hAnsi="仿宋_GB2312" w:eastAsia="仿宋_GB2312"/>
                <w:color w:val="000000"/>
                <w:kern w:val="0"/>
                <w:sz w:val="18"/>
                <w:szCs w:val="18"/>
              </w:rPr>
            </w:pPr>
            <w:r>
              <w:rPr>
                <w:rFonts w:hint="eastAsia" w:ascii="仿宋_GB2312" w:hAnsi="仿宋_GB2312" w:eastAsia="仿宋_GB2312"/>
                <w:color w:val="000000"/>
                <w:kern w:val="0"/>
                <w:sz w:val="18"/>
                <w:szCs w:val="18"/>
              </w:rPr>
              <w:t>（如适用）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关联的风险控制措施</w:t>
            </w:r>
            <w:r>
              <w:rPr>
                <w:rFonts w:hint="eastAsia" w:ascii="仿宋_GB2312" w:hAnsi="仿宋_GB2312" w:eastAsia="仿宋_GB2312"/>
                <w:color w:val="000000"/>
                <w:kern w:val="0"/>
                <w:sz w:val="18"/>
                <w:szCs w:val="18"/>
              </w:rPr>
              <w:t>（法规、制度或者风险控制措施的具体要求）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关联的后果</w:t>
            </w:r>
          </w:p>
          <w:p>
            <w:pPr>
              <w:widowControl/>
              <w:jc w:val="center"/>
              <w:rPr>
                <w:rFonts w:ascii="仿宋_GB2312" w:hAnsi="仿宋_GB2312" w:eastAsia="仿宋_GB2312"/>
                <w:b/>
                <w:bCs/>
                <w:color w:val="000000"/>
                <w:kern w:val="0"/>
                <w:szCs w:val="21"/>
              </w:rPr>
            </w:pPr>
            <w:r>
              <w:rPr>
                <w:rFonts w:hint="eastAsia" w:ascii="仿宋_GB2312" w:hAnsi="仿宋_GB2312" w:eastAsia="仿宋_GB2312"/>
                <w:color w:val="000000"/>
                <w:kern w:val="0"/>
                <w:sz w:val="18"/>
                <w:szCs w:val="18"/>
              </w:rPr>
              <w:t>（如适用）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来源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发现</w:t>
            </w:r>
          </w:p>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时间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整改单位/部门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整改时间</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整改措施</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整改资金</w:t>
            </w:r>
          </w:p>
          <w:p>
            <w:pPr>
              <w:widowControl/>
              <w:jc w:val="center"/>
              <w:rPr>
                <w:rFonts w:ascii="仿宋_GB2312" w:hAnsi="仿宋_GB2312" w:eastAsia="仿宋_GB2312"/>
                <w:color w:val="000000"/>
                <w:kern w:val="0"/>
                <w:sz w:val="18"/>
                <w:szCs w:val="18"/>
              </w:rPr>
            </w:pPr>
            <w:r>
              <w:rPr>
                <w:rFonts w:hint="eastAsia" w:ascii="仿宋_GB2312" w:hAnsi="仿宋_GB2312" w:eastAsia="仿宋_GB2312"/>
                <w:color w:val="000000"/>
                <w:kern w:val="0"/>
                <w:sz w:val="18"/>
                <w:szCs w:val="18"/>
              </w:rPr>
              <w:t>（如适用）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FF0000"/>
                <w:kern w:val="0"/>
                <w:szCs w:val="21"/>
              </w:rPr>
            </w:pPr>
            <w:r>
              <w:rPr>
                <w:rFonts w:hint="eastAsia" w:ascii="仿宋_GB2312" w:hAnsi="仿宋_GB2312" w:eastAsia="仿宋_GB2312"/>
                <w:b/>
                <w:bCs/>
                <w:kern w:val="0"/>
                <w:szCs w:val="21"/>
              </w:rPr>
              <w:t>应急预案</w:t>
            </w:r>
            <w:r>
              <w:rPr>
                <w:rFonts w:hint="eastAsia" w:ascii="仿宋_GB2312" w:hAnsi="仿宋_GB2312" w:eastAsia="仿宋_GB2312"/>
                <w:kern w:val="0"/>
                <w:sz w:val="18"/>
                <w:szCs w:val="18"/>
              </w:rPr>
              <w:t>（涉及重大隐患时填写）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措施验证人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措施验证时间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kern w:val="0"/>
                <w:szCs w:val="21"/>
              </w:rPr>
            </w:pPr>
            <w:r>
              <w:rPr>
                <w:rFonts w:hint="eastAsia" w:ascii="仿宋_GB2312" w:hAnsi="仿宋_GB2312" w:eastAsia="仿宋_GB2312"/>
                <w:b/>
                <w:bCs/>
                <w:kern w:val="0"/>
                <w:szCs w:val="21"/>
              </w:rPr>
              <w:t>治理效果验证情况</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是否</w:t>
            </w:r>
            <w:r>
              <w:rPr>
                <w:rFonts w:hint="eastAsia" w:ascii="仿宋_GB2312" w:hAnsi="仿宋_GB2312" w:eastAsia="仿宋_GB2312"/>
                <w:b/>
                <w:bCs/>
                <w:color w:val="000000"/>
                <w:kern w:val="0"/>
                <w:szCs w:val="21"/>
              </w:rPr>
              <w:br w:type="textWrapping"/>
            </w:r>
            <w:r>
              <w:rPr>
                <w:rFonts w:hint="eastAsia" w:ascii="仿宋_GB2312" w:hAnsi="仿宋_GB2312" w:eastAsia="仿宋_GB2312"/>
                <w:b/>
                <w:bCs/>
                <w:color w:val="000000"/>
                <w:kern w:val="0"/>
                <w:szCs w:val="21"/>
              </w:rPr>
              <w:t>关闭</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b/>
                <w:bCs/>
                <w:color w:val="000000"/>
                <w:kern w:val="0"/>
                <w:szCs w:val="21"/>
              </w:rPr>
            </w:pPr>
            <w:r>
              <w:rPr>
                <w:rFonts w:hint="eastAsia" w:ascii="仿宋_GB2312" w:hAnsi="仿宋_GB2312" w:eastAsia="仿宋_GB2312"/>
                <w:b/>
                <w:bCs/>
                <w:color w:val="000000"/>
                <w:kern w:val="0"/>
                <w:szCs w:val="21"/>
              </w:rPr>
              <w:t>关闭</w:t>
            </w:r>
            <w:r>
              <w:rPr>
                <w:rFonts w:hint="eastAsia" w:ascii="仿宋_GB2312" w:hAnsi="仿宋_GB2312" w:eastAsia="仿宋_GB2312"/>
                <w:b/>
                <w:bCs/>
                <w:color w:val="000000"/>
                <w:kern w:val="0"/>
                <w:szCs w:val="21"/>
              </w:rPr>
              <w:br w:type="textWrapping"/>
            </w:r>
            <w:r>
              <w:rPr>
                <w:rFonts w:hint="eastAsia" w:ascii="仿宋_GB2312" w:hAnsi="仿宋_GB2312" w:eastAsia="仿宋_GB2312"/>
                <w:b/>
                <w:bCs/>
                <w:color w:val="000000"/>
                <w:kern w:val="0"/>
                <w:szCs w:val="21"/>
              </w:rPr>
              <w:t>时间</w:t>
            </w:r>
          </w:p>
        </w:tc>
      </w:tr>
      <w:tr>
        <w:tblPrEx>
          <w:tblCellMar>
            <w:top w:w="0" w:type="dxa"/>
            <w:left w:w="108" w:type="dxa"/>
            <w:bottom w:w="0" w:type="dxa"/>
            <w:right w:w="108" w:type="dxa"/>
          </w:tblCellMar>
        </w:tblPrEx>
        <w:trPr>
          <w:trHeight w:val="5663"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某进近管制室部分管制员违反管制协议，向相邻管制单位过早进行电子移交。</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否</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风险控制措施失效</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1.部分管制员对管制</w:t>
            </w:r>
            <w:r>
              <w:rPr>
                <w:rFonts w:hint="eastAsia" w:ascii="仿宋_GB2312" w:hAnsi="仿宋_GB2312" w:eastAsia="仿宋_GB2312"/>
                <w:color w:val="000000"/>
                <w:kern w:val="0"/>
                <w:szCs w:val="21"/>
                <w:lang w:eastAsia="zh-CN"/>
              </w:rPr>
              <w:t>协议向相关内容存在误解</w:t>
            </w:r>
            <w:r>
              <w:rPr>
                <w:rFonts w:hint="eastAsia" w:ascii="仿宋_GB2312" w:hAnsi="仿宋_GB2312" w:eastAsia="仿宋_GB2312"/>
                <w:color w:val="000000"/>
                <w:kern w:val="0"/>
                <w:szCs w:val="21"/>
              </w:rPr>
              <w:t>；</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2.进近管制室对管制协议开展了培训，但</w:t>
            </w:r>
            <w:r>
              <w:rPr>
                <w:rFonts w:hint="eastAsia" w:ascii="仿宋_GB2312" w:hAnsi="仿宋_GB2312" w:eastAsia="仿宋_GB2312"/>
                <w:color w:val="000000"/>
                <w:kern w:val="0"/>
                <w:szCs w:val="21"/>
                <w:lang w:eastAsia="zh-CN"/>
              </w:rPr>
              <w:t>无相关</w:t>
            </w:r>
            <w:r>
              <w:rPr>
                <w:rFonts w:hint="eastAsia" w:ascii="仿宋_GB2312" w:hAnsi="仿宋_GB2312" w:eastAsia="仿宋_GB2312"/>
                <w:color w:val="000000"/>
                <w:kern w:val="0"/>
                <w:szCs w:val="21"/>
              </w:rPr>
              <w:t>考核；</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3.进近管制室的《业务培训管理规定》中没有明确</w:t>
            </w:r>
            <w:r>
              <w:rPr>
                <w:rFonts w:hint="eastAsia" w:ascii="仿宋_GB2312" w:hAnsi="仿宋_GB2312" w:eastAsia="仿宋_GB2312"/>
                <w:color w:val="000000"/>
                <w:kern w:val="0"/>
                <w:szCs w:val="21"/>
                <w:lang w:eastAsia="zh-CN"/>
              </w:rPr>
              <w:t>需要</w:t>
            </w:r>
            <w:r>
              <w:rPr>
                <w:rFonts w:hint="eastAsia" w:ascii="仿宋_GB2312" w:hAnsi="仿宋_GB2312" w:eastAsia="仿宋_GB2312"/>
                <w:color w:val="000000"/>
                <w:kern w:val="0"/>
                <w:szCs w:val="21"/>
              </w:rPr>
              <w:t>考核的</w:t>
            </w:r>
            <w:r>
              <w:rPr>
                <w:rFonts w:hint="eastAsia" w:ascii="仿宋_GB2312" w:hAnsi="仿宋_GB2312" w:eastAsia="仿宋_GB2312"/>
                <w:color w:val="000000"/>
                <w:kern w:val="0"/>
                <w:szCs w:val="21"/>
                <w:lang w:eastAsia="zh-CN"/>
              </w:rPr>
              <w:t>条件及</w:t>
            </w:r>
            <w:r>
              <w:rPr>
                <w:rFonts w:hint="eastAsia" w:ascii="仿宋_GB2312" w:hAnsi="仿宋_GB2312" w:eastAsia="仿宋_GB2312"/>
                <w:color w:val="000000"/>
                <w:kern w:val="0"/>
                <w:szCs w:val="21"/>
              </w:rPr>
              <w:t>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进近管制室的《业务培训管理规定》规定：协议签订后，应对全体人员开展不少于2小时的培训。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飞行冲突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内部检查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2022/1/3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进近管制室</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_GB2312" w:hAnsi="仿宋_GB2312" w:eastAsia="仿宋_GB2312"/>
                <w:color w:val="000000"/>
                <w:kern w:val="0"/>
                <w:szCs w:val="21"/>
                <w:lang w:val="en-US" w:eastAsia="zh-CN"/>
              </w:rPr>
            </w:pPr>
            <w:r>
              <w:rPr>
                <w:rFonts w:hint="eastAsia" w:ascii="仿宋_GB2312" w:hAnsi="仿宋_GB2312" w:eastAsia="仿宋_GB2312"/>
                <w:color w:val="000000"/>
                <w:kern w:val="0"/>
                <w:szCs w:val="21"/>
              </w:rPr>
              <w:t>2022/1/</w:t>
            </w:r>
            <w:r>
              <w:rPr>
                <w:rFonts w:hint="eastAsia" w:ascii="仿宋_GB2312" w:hAnsi="仿宋_GB2312" w:eastAsia="仿宋_GB2312"/>
                <w:color w:val="000000"/>
                <w:kern w:val="0"/>
                <w:szCs w:val="21"/>
                <w:lang w:val="en-US" w:eastAsia="zh-CN"/>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1.修订进近管制室《业务培训管理规定》，增加业务培训后应对受训人员进行考核，不合格的直到补考合格后方可上岗的要求。</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2.进近管制室对全体人员开展管制协议培训和考核，对不合格的人员进行了补考，直到全体人员考核合格。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安质部检查员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仿宋_GB2312" w:eastAsia="仿宋_GB2312"/>
                <w:color w:val="000000"/>
                <w:kern w:val="0"/>
                <w:szCs w:val="21"/>
              </w:rPr>
            </w:pPr>
            <w:r>
              <w:rPr>
                <w:rFonts w:hint="eastAsia" w:ascii="仿宋_GB2312" w:hAnsi="仿宋_GB2312" w:eastAsia="仿宋_GB2312"/>
                <w:color w:val="000000"/>
                <w:kern w:val="0"/>
                <w:szCs w:val="21"/>
              </w:rPr>
              <w:t>2022/</w:t>
            </w:r>
            <w:r>
              <w:rPr>
                <w:rFonts w:hint="eastAsia" w:ascii="仿宋_GB2312" w:hAnsi="仿宋_GB2312" w:eastAsia="仿宋_GB2312"/>
                <w:color w:val="000000"/>
                <w:kern w:val="0"/>
                <w:szCs w:val="21"/>
                <w:lang w:val="en-US" w:eastAsia="zh-CN"/>
              </w:rPr>
              <w:t>2</w:t>
            </w:r>
            <w:r>
              <w:rPr>
                <w:rFonts w:hint="eastAsia" w:ascii="仿宋_GB2312" w:hAnsi="仿宋_GB2312" w:eastAsia="仿宋_GB2312"/>
                <w:color w:val="000000"/>
                <w:kern w:val="0"/>
                <w:szCs w:val="21"/>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w:t>
            </w:r>
            <w:r>
              <w:rPr>
                <w:rFonts w:ascii="仿宋_GB2312" w:hAnsi="仿宋_GB2312" w:eastAsia="仿宋_GB2312"/>
                <w:color w:val="000000"/>
                <w:kern w:val="0"/>
                <w:szCs w:val="21"/>
              </w:rPr>
              <w:t>2022</w:t>
            </w:r>
            <w:r>
              <w:rPr>
                <w:rFonts w:hint="eastAsia" w:ascii="仿宋_GB2312" w:hAnsi="仿宋_GB2312" w:eastAsia="仿宋_GB2312"/>
                <w:color w:val="000000"/>
                <w:kern w:val="0"/>
                <w:szCs w:val="21"/>
              </w:rPr>
              <w:t>年</w:t>
            </w:r>
            <w:r>
              <w:rPr>
                <w:rFonts w:hint="eastAsia" w:ascii="仿宋_GB2312" w:hAnsi="仿宋_GB2312" w:eastAsia="仿宋_GB2312"/>
                <w:color w:val="000000"/>
                <w:kern w:val="0"/>
                <w:szCs w:val="21"/>
                <w:lang w:val="en-US" w:eastAsia="zh-CN"/>
              </w:rPr>
              <w:t>2</w:t>
            </w:r>
            <w:r>
              <w:rPr>
                <w:rFonts w:hint="eastAsia" w:ascii="仿宋_GB2312" w:hAnsi="仿宋_GB2312" w:eastAsia="仿宋_GB2312"/>
                <w:color w:val="000000"/>
                <w:kern w:val="0"/>
                <w:szCs w:val="21"/>
              </w:rPr>
              <w:t>月1日检查了进近管制室修订的《业务培训管理规定》，该规定明确业务培训后应对受训人员进行考核，不合格的直到补考合格后方可上岗的要求。</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w:t>
            </w:r>
            <w:r>
              <w:rPr>
                <w:rFonts w:ascii="仿宋_GB2312" w:hAnsi="仿宋_GB2312" w:eastAsia="仿宋_GB2312"/>
                <w:color w:val="000000"/>
                <w:kern w:val="0"/>
                <w:szCs w:val="21"/>
              </w:rPr>
              <w:t>2022</w:t>
            </w:r>
            <w:r>
              <w:rPr>
                <w:rFonts w:hint="eastAsia" w:ascii="仿宋_GB2312" w:hAnsi="仿宋_GB2312" w:eastAsia="仿宋_GB2312"/>
                <w:color w:val="000000"/>
                <w:kern w:val="0"/>
                <w:szCs w:val="21"/>
              </w:rPr>
              <w:t>年</w:t>
            </w:r>
            <w:r>
              <w:rPr>
                <w:rFonts w:ascii="仿宋_GB2312" w:hAnsi="仿宋_GB2312" w:eastAsia="仿宋_GB2312"/>
                <w:color w:val="000000"/>
                <w:kern w:val="0"/>
                <w:szCs w:val="21"/>
              </w:rPr>
              <w:t>2</w:t>
            </w:r>
            <w:r>
              <w:rPr>
                <w:rFonts w:hint="eastAsia" w:ascii="仿宋_GB2312" w:hAnsi="仿宋_GB2312" w:eastAsia="仿宋_GB2312"/>
                <w:color w:val="000000"/>
                <w:kern w:val="0"/>
                <w:szCs w:val="21"/>
              </w:rPr>
              <w:t>月1日检查进近管制室对全体人员进行管制协议培训和考核记录，</w:t>
            </w:r>
            <w:bookmarkStart w:id="47" w:name="_GoBack"/>
            <w:bookmarkEnd w:id="47"/>
            <w:r>
              <w:rPr>
                <w:rFonts w:hint="eastAsia" w:ascii="仿宋_GB2312" w:hAnsi="仿宋_GB2312" w:eastAsia="仿宋_GB2312"/>
                <w:color w:val="000000"/>
                <w:kern w:val="0"/>
                <w:szCs w:val="21"/>
              </w:rPr>
              <w:t>均已经考核合格。</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3.</w:t>
            </w:r>
            <w:r>
              <w:rPr>
                <w:rFonts w:ascii="仿宋_GB2312" w:hAnsi="仿宋_GB2312" w:eastAsia="仿宋_GB2312"/>
                <w:color w:val="000000"/>
                <w:kern w:val="0"/>
                <w:szCs w:val="21"/>
              </w:rPr>
              <w:t>2022</w:t>
            </w:r>
            <w:r>
              <w:rPr>
                <w:rFonts w:hint="eastAsia" w:ascii="仿宋_GB2312" w:hAnsi="仿宋_GB2312" w:eastAsia="仿宋_GB2312"/>
                <w:color w:val="000000"/>
                <w:kern w:val="0"/>
                <w:szCs w:val="21"/>
              </w:rPr>
              <w:t>年</w:t>
            </w:r>
            <w:r>
              <w:rPr>
                <w:rFonts w:hint="eastAsia" w:ascii="仿宋_GB2312" w:hAnsi="仿宋_GB2312" w:eastAsia="仿宋_GB2312"/>
                <w:color w:val="000000"/>
                <w:kern w:val="0"/>
                <w:szCs w:val="21"/>
                <w:lang w:val="en-US" w:eastAsia="zh-CN"/>
              </w:rPr>
              <w:t>2</w:t>
            </w:r>
            <w:r>
              <w:rPr>
                <w:rFonts w:hint="eastAsia" w:ascii="仿宋_GB2312" w:hAnsi="仿宋_GB2312" w:eastAsia="仿宋_GB2312"/>
                <w:color w:val="000000"/>
                <w:kern w:val="0"/>
                <w:szCs w:val="21"/>
              </w:rPr>
              <w:t>月1日随机抽查了过去两个月中每周各1小时的录像，没有发现过早进行电子移交的情况。</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是</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2022/3/1</w:t>
            </w:r>
          </w:p>
        </w:tc>
      </w:tr>
      <w:tr>
        <w:tblPrEx>
          <w:tblCellMar>
            <w:top w:w="0" w:type="dxa"/>
            <w:left w:w="108" w:type="dxa"/>
            <w:bottom w:w="0" w:type="dxa"/>
            <w:right w:w="108" w:type="dxa"/>
          </w:tblCellMar>
        </w:tblPrEx>
        <w:trPr>
          <w:trHeight w:val="841"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货运平板车阻挡加油车前方的紧急通道。</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否</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重复性违规违章</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1、作业人员违反车辆靠机作业规范；</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2、作业人员对加油车紧急通道的要求不熟悉。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公司《航站运行手册》“航空器活动区道路交通管理规则”第XXX条"当飞机正在加油时，在停机位内的车辆不得阻碍加油车前方的紧急通道。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1、紧急情况下阻挡加油车的撤离；</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2、车辆与飞机或车辆与车辆刮碰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日常安全检查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2022/1/3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货运部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olor w:val="000000"/>
                <w:kern w:val="0"/>
                <w:szCs w:val="21"/>
                <w:lang w:eastAsia="zh-CN"/>
              </w:rPr>
            </w:pPr>
            <w:r>
              <w:rPr>
                <w:rFonts w:hint="eastAsia" w:ascii="仿宋_GB2312" w:hAnsi="仿宋_GB2312" w:eastAsia="仿宋_GB2312"/>
                <w:color w:val="000000"/>
                <w:kern w:val="0"/>
                <w:szCs w:val="21"/>
              </w:rPr>
              <w:t>2022/1/</w:t>
            </w:r>
            <w:r>
              <w:rPr>
                <w:rFonts w:hint="eastAsia" w:ascii="仿宋_GB2312" w:hAnsi="仿宋_GB2312" w:eastAsia="仿宋_GB2312"/>
                <w:color w:val="000000"/>
                <w:kern w:val="0"/>
                <w:szCs w:val="21"/>
                <w:lang w:val="en-US" w:eastAsia="zh-CN"/>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1、对违规操作人员进行批评教育并现场纠正；</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2、组织装卸处员工再次学习《航空器活动区道路交通管理规则》的相关要求；</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3、安质处组织对车辆靠机作业安全检查频次由每周3次增加至</w:t>
            </w:r>
            <w:r>
              <w:rPr>
                <w:rFonts w:hint="eastAsia" w:ascii="仿宋_GB2312" w:hAnsi="仿宋_GB2312" w:eastAsia="仿宋_GB2312"/>
                <w:color w:val="000000"/>
                <w:kern w:val="0"/>
                <w:szCs w:val="21"/>
                <w:lang w:val="en-US" w:eastAsia="zh-CN"/>
              </w:rPr>
              <w:t>5次</w:t>
            </w:r>
            <w:r>
              <w:rPr>
                <w:rFonts w:hint="eastAsia" w:ascii="仿宋_GB2312" w:hAnsi="仿宋_GB2312" w:eastAsia="仿宋_GB2312"/>
                <w:color w:val="000000"/>
                <w:kern w:val="0"/>
                <w:szCs w:val="21"/>
              </w:rPr>
              <w:t>，并协调机场进行视频抽查。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货运部安全质量经理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仿宋_GB2312" w:eastAsia="仿宋_GB2312"/>
                <w:color w:val="000000"/>
                <w:kern w:val="0"/>
                <w:szCs w:val="21"/>
              </w:rPr>
            </w:pPr>
            <w:r>
              <w:rPr>
                <w:rFonts w:hint="eastAsia" w:ascii="仿宋_GB2312" w:hAnsi="仿宋_GB2312" w:eastAsia="仿宋_GB2312"/>
                <w:color w:val="000000"/>
                <w:kern w:val="0"/>
                <w:szCs w:val="21"/>
              </w:rPr>
              <w:t>2022/</w:t>
            </w:r>
            <w:r>
              <w:rPr>
                <w:rFonts w:hint="eastAsia" w:ascii="仿宋_GB2312" w:hAnsi="仿宋_GB2312" w:eastAsia="仿宋_GB2312"/>
                <w:color w:val="000000"/>
                <w:kern w:val="0"/>
                <w:szCs w:val="21"/>
                <w:lang w:val="en-US" w:eastAsia="zh-CN"/>
              </w:rPr>
              <w:t>2</w:t>
            </w:r>
            <w:r>
              <w:rPr>
                <w:rFonts w:hint="eastAsia" w:ascii="仿宋_GB2312" w:hAnsi="仿宋_GB2312" w:eastAsia="仿宋_GB2312"/>
                <w:color w:val="000000"/>
                <w:kern w:val="0"/>
                <w:szCs w:val="21"/>
              </w:rPr>
              <w:t>/3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olor w:val="000000"/>
                <w:kern w:val="0"/>
                <w:szCs w:val="21"/>
              </w:rPr>
            </w:pPr>
            <w:r>
              <w:rPr>
                <w:rFonts w:hint="eastAsia" w:ascii="仿宋_GB2312" w:hAnsi="仿宋_GB2312" w:eastAsia="仿宋_GB2312"/>
                <w:color w:val="000000"/>
                <w:kern w:val="0"/>
                <w:szCs w:val="21"/>
              </w:rPr>
              <w:t>1.</w:t>
            </w:r>
            <w:r>
              <w:rPr>
                <w:rFonts w:ascii="仿宋_GB2312" w:hAnsi="仿宋_GB2312" w:eastAsia="仿宋_GB2312"/>
                <w:color w:val="000000"/>
                <w:kern w:val="0"/>
                <w:szCs w:val="21"/>
              </w:rPr>
              <w:t>2022</w:t>
            </w:r>
            <w:r>
              <w:rPr>
                <w:rFonts w:hint="eastAsia" w:ascii="仿宋_GB2312" w:hAnsi="仿宋_GB2312" w:eastAsia="仿宋_GB2312"/>
                <w:color w:val="000000"/>
                <w:kern w:val="0"/>
                <w:szCs w:val="21"/>
              </w:rPr>
              <w:t>年</w:t>
            </w:r>
            <w:r>
              <w:rPr>
                <w:rFonts w:hint="eastAsia" w:ascii="仿宋_GB2312" w:hAnsi="仿宋_GB2312" w:eastAsia="仿宋_GB2312"/>
                <w:color w:val="000000"/>
                <w:kern w:val="0"/>
                <w:szCs w:val="21"/>
                <w:lang w:val="en-US" w:eastAsia="zh-CN"/>
              </w:rPr>
              <w:t>2</w:t>
            </w:r>
            <w:r>
              <w:rPr>
                <w:rFonts w:hint="eastAsia" w:ascii="仿宋_GB2312" w:hAnsi="仿宋_GB2312" w:eastAsia="仿宋_GB2312"/>
                <w:color w:val="000000"/>
                <w:kern w:val="0"/>
                <w:szCs w:val="21"/>
              </w:rPr>
              <w:t>月3日检查了装卸处员工学习《航空器活动区道路交通管理规则》的记录和考核记录，所有员工学习和考核合格</w:t>
            </w:r>
            <w:r>
              <w:rPr>
                <w:rFonts w:hint="eastAsia" w:ascii="仿宋_GB2312" w:hAnsi="仿宋_GB2312" w:eastAsia="仿宋_GB2312"/>
                <w:color w:val="000000"/>
                <w:kern w:val="0"/>
                <w:szCs w:val="21"/>
              </w:rPr>
              <w:br w:type="textWrapping"/>
            </w:r>
            <w:r>
              <w:rPr>
                <w:rFonts w:hint="eastAsia" w:ascii="仿宋_GB2312" w:hAnsi="仿宋_GB2312" w:eastAsia="仿宋_GB2312"/>
                <w:color w:val="000000"/>
                <w:kern w:val="0"/>
                <w:szCs w:val="21"/>
              </w:rPr>
              <w:t>2.</w:t>
            </w:r>
            <w:r>
              <w:rPr>
                <w:rFonts w:ascii="仿宋_GB2312" w:hAnsi="仿宋_GB2312" w:eastAsia="仿宋_GB2312"/>
                <w:color w:val="000000"/>
                <w:kern w:val="0"/>
                <w:szCs w:val="21"/>
              </w:rPr>
              <w:t>2022</w:t>
            </w:r>
            <w:r>
              <w:rPr>
                <w:rFonts w:hint="eastAsia" w:ascii="仿宋_GB2312" w:hAnsi="仿宋_GB2312" w:eastAsia="仿宋_GB2312"/>
                <w:color w:val="000000"/>
                <w:kern w:val="0"/>
                <w:szCs w:val="21"/>
              </w:rPr>
              <w:t>年</w:t>
            </w:r>
            <w:r>
              <w:rPr>
                <w:rFonts w:hint="eastAsia" w:ascii="仿宋_GB2312" w:hAnsi="仿宋_GB2312" w:eastAsia="仿宋_GB2312"/>
                <w:color w:val="000000"/>
                <w:kern w:val="0"/>
                <w:szCs w:val="21"/>
                <w:lang w:val="en-US" w:eastAsia="zh-CN"/>
              </w:rPr>
              <w:t>2</w:t>
            </w:r>
            <w:r>
              <w:rPr>
                <w:rFonts w:hint="eastAsia" w:ascii="仿宋_GB2312" w:hAnsi="仿宋_GB2312" w:eastAsia="仿宋_GB2312"/>
                <w:color w:val="000000"/>
                <w:kern w:val="0"/>
                <w:szCs w:val="21"/>
              </w:rPr>
              <w:t>月3日随机抽查过去两个月的车辆靠机作业安全检查记录，发现连续两个月没有发生类似违规事件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是</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olor w:val="000000"/>
                <w:kern w:val="0"/>
                <w:szCs w:val="21"/>
              </w:rPr>
            </w:pPr>
            <w:r>
              <w:rPr>
                <w:rFonts w:hint="eastAsia" w:ascii="仿宋_GB2312" w:hAnsi="仿宋_GB2312" w:eastAsia="仿宋_GB2312"/>
                <w:color w:val="000000"/>
                <w:kern w:val="0"/>
                <w:szCs w:val="21"/>
              </w:rPr>
              <w:t>2022/3/6</w:t>
            </w:r>
          </w:p>
        </w:tc>
      </w:tr>
    </w:tbl>
    <w:p>
      <w:pPr>
        <w:widowControl/>
        <w:jc w:val="left"/>
      </w:pPr>
    </w:p>
    <w:sectPr>
      <w:footerReference r:id="rId7" w:type="default"/>
      <w:pgSz w:w="23811" w:h="16838"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TimesNewRomanPS-BoldMT">
    <w:altName w:val="DejaVu Sans"/>
    <w:panose1 w:val="00000000000000000000"/>
    <w:charset w:val="00"/>
    <w:family w:val="auto"/>
    <w:pitch w:val="default"/>
    <w:sig w:usb0="00000000" w:usb1="00000000" w:usb2="00000000" w:usb3="00000000" w:csb0="00000000" w:csb1="00000000"/>
  </w:font>
  <w:font w:name="TimesNewRomanPSMT">
    <w:altName w:val="DejaVu Sans"/>
    <w:panose1 w:val="00000000000000000000"/>
    <w:charset w:val="00"/>
    <w:family w:val="roman"/>
    <w:pitch w:val="default"/>
    <w:sig w:usb0="00000000" w:usb1="00000000" w:usb2="00000009" w:usb3="00000000" w:csb0="400001FF" w:csb1="FFFF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17 -</w:t>
    </w:r>
    <w:r>
      <w:rPr>
        <w:sz w:val="21"/>
        <w:szCs w:val="21"/>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w:t>
    </w:r>
    <w:r>
      <w:t xml:space="preserve"> 19 -</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w:t>
    </w:r>
    <w:r>
      <w:t xml:space="preserve"> 23 -</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hM2Y0MjBmYjRlZTAzMWQxZjM2NTYzZjFjMWRiZGQifQ=="/>
  </w:docVars>
  <w:rsids>
    <w:rsidRoot w:val="00000000"/>
    <w:rsid w:val="44452C7D"/>
    <w:rsid w:val="79A75FA3"/>
    <w:rsid w:val="FBE3A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4"/>
    <w:qFormat/>
    <w:uiPriority w:val="9"/>
    <w:pPr>
      <w:keepNext/>
      <w:keepLines/>
      <w:spacing w:before="260" w:after="260" w:line="416" w:lineRule="auto"/>
      <w:outlineLvl w:val="2"/>
    </w:pPr>
    <w:rPr>
      <w:b/>
      <w:bCs/>
      <w:sz w:val="32"/>
      <w:szCs w:val="32"/>
    </w:rPr>
  </w:style>
  <w:style w:type="character" w:default="1" w:styleId="22">
    <w:name w:val="Default Paragraph Font"/>
    <w:uiPriority w:val="1"/>
  </w:style>
  <w:style w:type="table" w:default="1" w:styleId="20">
    <w:name w:val="Normal Table"/>
    <w:uiPriority w:val="99"/>
    <w:tblPr>
      <w:tblCellMar>
        <w:top w:w="0" w:type="dxa"/>
        <w:left w:w="108" w:type="dxa"/>
        <w:bottom w:w="0" w:type="dxa"/>
        <w:right w:w="108" w:type="dxa"/>
      </w:tblCellMar>
    </w:tblPr>
  </w:style>
  <w:style w:type="paragraph" w:styleId="4">
    <w:name w:val="toc 7"/>
    <w:basedOn w:val="1"/>
    <w:next w:val="1"/>
    <w:qFormat/>
    <w:uiPriority w:val="39"/>
    <w:pPr>
      <w:ind w:left="1260"/>
      <w:jc w:val="left"/>
    </w:pPr>
    <w:rPr>
      <w:sz w:val="18"/>
      <w:szCs w:val="18"/>
    </w:rPr>
  </w:style>
  <w:style w:type="paragraph" w:styleId="5">
    <w:name w:val="annotation text"/>
    <w:basedOn w:val="1"/>
    <w:link w:val="29"/>
    <w:qFormat/>
    <w:uiPriority w:val="99"/>
    <w:pPr>
      <w:jc w:val="left"/>
    </w:pPr>
  </w:style>
  <w:style w:type="paragraph" w:styleId="6">
    <w:name w:val="toc 5"/>
    <w:basedOn w:val="1"/>
    <w:next w:val="1"/>
    <w:qFormat/>
    <w:uiPriority w:val="39"/>
    <w:pPr>
      <w:ind w:left="840"/>
      <w:jc w:val="left"/>
    </w:pPr>
    <w:rPr>
      <w:sz w:val="18"/>
      <w:szCs w:val="18"/>
    </w:rPr>
  </w:style>
  <w:style w:type="paragraph" w:styleId="7">
    <w:name w:val="toc 3"/>
    <w:basedOn w:val="1"/>
    <w:next w:val="1"/>
    <w:qFormat/>
    <w:uiPriority w:val="39"/>
    <w:pPr>
      <w:tabs>
        <w:tab w:val="right" w:leader="dot" w:pos="8296"/>
      </w:tabs>
      <w:adjustRightInd w:val="0"/>
      <w:snapToGrid w:val="0"/>
      <w:spacing w:line="360" w:lineRule="auto"/>
      <w:ind w:left="420"/>
      <w:jc w:val="left"/>
    </w:pPr>
    <w:rPr>
      <w:i/>
      <w:iCs/>
      <w:sz w:val="20"/>
      <w:szCs w:val="20"/>
    </w:rPr>
  </w:style>
  <w:style w:type="paragraph" w:styleId="8">
    <w:name w:val="toc 8"/>
    <w:basedOn w:val="1"/>
    <w:next w:val="1"/>
    <w:qFormat/>
    <w:uiPriority w:val="39"/>
    <w:pPr>
      <w:ind w:left="1470"/>
      <w:jc w:val="left"/>
    </w:pPr>
    <w:rPr>
      <w:sz w:val="18"/>
      <w:szCs w:val="18"/>
    </w:rPr>
  </w:style>
  <w:style w:type="paragraph" w:styleId="9">
    <w:name w:val="Balloon Text"/>
    <w:basedOn w:val="1"/>
    <w:link w:val="31"/>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s>
      <w:spacing w:before="120" w:after="120"/>
      <w:jc w:val="center"/>
    </w:pPr>
    <w:rPr>
      <w:b/>
      <w:bCs/>
      <w:caps/>
      <w:sz w:val="20"/>
      <w:szCs w:val="20"/>
    </w:rPr>
  </w:style>
  <w:style w:type="paragraph" w:styleId="13">
    <w:name w:val="toc 4"/>
    <w:basedOn w:val="1"/>
    <w:next w:val="1"/>
    <w:qFormat/>
    <w:uiPriority w:val="39"/>
    <w:pPr>
      <w:ind w:left="630"/>
      <w:jc w:val="left"/>
    </w:pPr>
    <w:rPr>
      <w:sz w:val="18"/>
      <w:szCs w:val="18"/>
    </w:rPr>
  </w:style>
  <w:style w:type="paragraph" w:styleId="14">
    <w:name w:val="footnote text"/>
    <w:basedOn w:val="1"/>
    <w:link w:val="33"/>
    <w:qFormat/>
    <w:uiPriority w:val="99"/>
    <w:pPr>
      <w:snapToGrid w:val="0"/>
      <w:jc w:val="left"/>
    </w:pPr>
    <w:rPr>
      <w:sz w:val="18"/>
      <w:szCs w:val="18"/>
    </w:rPr>
  </w:style>
  <w:style w:type="paragraph" w:styleId="15">
    <w:name w:val="toc 6"/>
    <w:basedOn w:val="1"/>
    <w:next w:val="1"/>
    <w:qFormat/>
    <w:uiPriority w:val="39"/>
    <w:pPr>
      <w:ind w:left="1050"/>
      <w:jc w:val="left"/>
    </w:pPr>
    <w:rPr>
      <w:sz w:val="18"/>
      <w:szCs w:val="18"/>
    </w:rPr>
  </w:style>
  <w:style w:type="paragraph" w:styleId="16">
    <w:name w:val="toc 2"/>
    <w:basedOn w:val="1"/>
    <w:next w:val="1"/>
    <w:qFormat/>
    <w:uiPriority w:val="39"/>
    <w:pPr>
      <w:ind w:left="210"/>
      <w:jc w:val="left"/>
    </w:pPr>
    <w:rPr>
      <w:smallCaps/>
      <w:sz w:val="20"/>
      <w:szCs w:val="20"/>
    </w:rPr>
  </w:style>
  <w:style w:type="paragraph" w:styleId="17">
    <w:name w:val="toc 9"/>
    <w:basedOn w:val="1"/>
    <w:next w:val="1"/>
    <w:qFormat/>
    <w:uiPriority w:val="39"/>
    <w:pPr>
      <w:ind w:left="1680"/>
      <w:jc w:val="left"/>
    </w:pPr>
    <w:rPr>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19">
    <w:name w:val="annotation subject"/>
    <w:basedOn w:val="5"/>
    <w:next w:val="5"/>
    <w:link w:val="30"/>
    <w:qFormat/>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563C1"/>
      <w:u w:val="single"/>
    </w:rPr>
  </w:style>
  <w:style w:type="character" w:styleId="24">
    <w:name w:val="annotation reference"/>
    <w:basedOn w:val="22"/>
    <w:qFormat/>
    <w:uiPriority w:val="99"/>
    <w:rPr>
      <w:sz w:val="21"/>
      <w:szCs w:val="21"/>
    </w:rPr>
  </w:style>
  <w:style w:type="character" w:styleId="25">
    <w:name w:val="footnote reference"/>
    <w:basedOn w:val="22"/>
    <w:uiPriority w:val="99"/>
    <w:rPr>
      <w:vertAlign w:val="superscript"/>
    </w:rPr>
  </w:style>
  <w:style w:type="paragraph" w:styleId="26">
    <w:name w:val="List Paragraph"/>
    <w:basedOn w:val="1"/>
    <w:qFormat/>
    <w:uiPriority w:val="1"/>
    <w:pPr>
      <w:ind w:firstLine="420" w:firstLineChars="200"/>
    </w:pPr>
  </w:style>
  <w:style w:type="character" w:customStyle="1" w:styleId="27">
    <w:name w:val="页眉 字符"/>
    <w:basedOn w:val="22"/>
    <w:link w:val="11"/>
    <w:qFormat/>
    <w:uiPriority w:val="99"/>
    <w:rPr>
      <w:sz w:val="18"/>
      <w:szCs w:val="18"/>
    </w:rPr>
  </w:style>
  <w:style w:type="character" w:customStyle="1" w:styleId="28">
    <w:name w:val="页脚 字符"/>
    <w:basedOn w:val="22"/>
    <w:link w:val="10"/>
    <w:qFormat/>
    <w:uiPriority w:val="99"/>
    <w:rPr>
      <w:sz w:val="18"/>
      <w:szCs w:val="18"/>
    </w:rPr>
  </w:style>
  <w:style w:type="character" w:customStyle="1" w:styleId="29">
    <w:name w:val="批注文字 字符"/>
    <w:basedOn w:val="22"/>
    <w:link w:val="5"/>
    <w:qFormat/>
    <w:uiPriority w:val="99"/>
  </w:style>
  <w:style w:type="character" w:customStyle="1" w:styleId="30">
    <w:name w:val="批注主题 字符"/>
    <w:basedOn w:val="29"/>
    <w:link w:val="19"/>
    <w:qFormat/>
    <w:uiPriority w:val="99"/>
    <w:rPr>
      <w:b/>
      <w:bCs/>
    </w:rPr>
  </w:style>
  <w:style w:type="character" w:customStyle="1" w:styleId="31">
    <w:name w:val="批注框文本 字符"/>
    <w:basedOn w:val="22"/>
    <w:link w:val="9"/>
    <w:qFormat/>
    <w:uiPriority w:val="99"/>
    <w:rPr>
      <w:sz w:val="18"/>
      <w:szCs w:val="18"/>
    </w:rPr>
  </w:style>
  <w:style w:type="character" w:customStyle="1" w:styleId="32">
    <w:name w:val="bjh-p"/>
    <w:basedOn w:val="22"/>
    <w:qFormat/>
    <w:uiPriority w:val="0"/>
  </w:style>
  <w:style w:type="character" w:customStyle="1" w:styleId="33">
    <w:name w:val="脚注文本 字符"/>
    <w:basedOn w:val="22"/>
    <w:link w:val="14"/>
    <w:qFormat/>
    <w:uiPriority w:val="99"/>
    <w:rPr>
      <w:sz w:val="18"/>
      <w:szCs w:val="18"/>
    </w:rPr>
  </w:style>
  <w:style w:type="paragraph" w:customStyle="1" w:styleId="34">
    <w:name w:val="修订1"/>
    <w:qFormat/>
    <w:uiPriority w:val="99"/>
    <w:rPr>
      <w:rFonts w:ascii="等线" w:hAnsi="等线" w:eastAsia="等线" w:cs="宋体"/>
      <w:kern w:val="2"/>
      <w:sz w:val="21"/>
      <w:szCs w:val="22"/>
      <w:lang w:val="en-US" w:eastAsia="zh-CN" w:bidi="ar-SA"/>
    </w:rPr>
  </w:style>
  <w:style w:type="paragraph" w:customStyle="1" w:styleId="35">
    <w:name w:val="修订2"/>
    <w:qFormat/>
    <w:uiPriority w:val="99"/>
    <w:rPr>
      <w:rFonts w:ascii="等线" w:hAnsi="等线" w:eastAsia="等线" w:cs="宋体"/>
      <w:kern w:val="2"/>
      <w:sz w:val="21"/>
      <w:szCs w:val="22"/>
      <w:lang w:val="en-US" w:eastAsia="zh-CN" w:bidi="ar-SA"/>
    </w:rPr>
  </w:style>
  <w:style w:type="character" w:customStyle="1" w:styleId="36">
    <w:name w:val="font01"/>
    <w:basedOn w:val="22"/>
    <w:qFormat/>
    <w:uiPriority w:val="0"/>
    <w:rPr>
      <w:rFonts w:hint="eastAsia" w:ascii="宋体" w:hAnsi="宋体" w:eastAsia="宋体"/>
      <w:b/>
      <w:bCs/>
      <w:color w:val="000000"/>
      <w:sz w:val="18"/>
      <w:szCs w:val="18"/>
      <w:u w:val="none"/>
    </w:rPr>
  </w:style>
  <w:style w:type="character" w:customStyle="1" w:styleId="37">
    <w:name w:val="font41"/>
    <w:basedOn w:val="22"/>
    <w:qFormat/>
    <w:uiPriority w:val="0"/>
    <w:rPr>
      <w:rFonts w:hint="eastAsia" w:ascii="宋体" w:hAnsi="宋体" w:eastAsia="宋体"/>
      <w:b/>
      <w:bCs/>
      <w:color w:val="000000"/>
      <w:sz w:val="12"/>
      <w:szCs w:val="12"/>
      <w:u w:val="none"/>
    </w:rPr>
  </w:style>
  <w:style w:type="character" w:customStyle="1" w:styleId="38">
    <w:name w:val="font11"/>
    <w:basedOn w:val="22"/>
    <w:qFormat/>
    <w:uiPriority w:val="0"/>
    <w:rPr>
      <w:rFonts w:hint="eastAsia" w:ascii="宋体" w:hAnsi="宋体" w:eastAsia="宋体"/>
      <w:color w:val="000000"/>
      <w:sz w:val="22"/>
      <w:szCs w:val="22"/>
      <w:u w:val="none"/>
    </w:rPr>
  </w:style>
  <w:style w:type="character" w:customStyle="1" w:styleId="39">
    <w:name w:val="标题 1 字符"/>
    <w:basedOn w:val="22"/>
    <w:link w:val="2"/>
    <w:qFormat/>
    <w:uiPriority w:val="0"/>
    <w:rPr>
      <w:rFonts w:ascii="等线" w:hAnsi="等线" w:eastAsia="等线" w:cs="宋体"/>
      <w:b/>
      <w:bCs/>
      <w:kern w:val="44"/>
      <w:sz w:val="44"/>
      <w:szCs w:val="44"/>
    </w:rPr>
  </w:style>
  <w:style w:type="paragraph" w:customStyle="1" w:styleId="40">
    <w:name w:val="修订3"/>
    <w:qFormat/>
    <w:uiPriority w:val="99"/>
    <w:rPr>
      <w:rFonts w:ascii="等线" w:hAnsi="等线" w:eastAsia="等线" w:cs="宋体"/>
      <w:kern w:val="2"/>
      <w:sz w:val="21"/>
      <w:szCs w:val="22"/>
      <w:lang w:val="en-US" w:eastAsia="zh-CN" w:bidi="ar-SA"/>
    </w:rPr>
  </w:style>
  <w:style w:type="paragraph" w:customStyle="1" w:styleId="41">
    <w:name w:val="修订4"/>
    <w:uiPriority w:val="99"/>
    <w:rPr>
      <w:rFonts w:ascii="等线" w:hAnsi="等线" w:eastAsia="等线" w:cs="宋体"/>
      <w:kern w:val="2"/>
      <w:sz w:val="21"/>
      <w:szCs w:val="22"/>
      <w:lang w:val="en-US" w:eastAsia="zh-CN" w:bidi="ar-SA"/>
    </w:rPr>
  </w:style>
  <w:style w:type="character" w:customStyle="1" w:styleId="42">
    <w:name w:val="fontstyle01"/>
    <w:basedOn w:val="22"/>
    <w:uiPriority w:val="0"/>
    <w:rPr>
      <w:rFonts w:hint="default" w:ascii="TimesNewRomanPS-BoldMT" w:hAnsi="TimesNewRomanPS-BoldMT"/>
      <w:b/>
      <w:bCs/>
      <w:color w:val="000000"/>
      <w:sz w:val="24"/>
      <w:szCs w:val="24"/>
    </w:rPr>
  </w:style>
  <w:style w:type="character" w:customStyle="1" w:styleId="43">
    <w:name w:val="fontstyle21"/>
    <w:basedOn w:val="22"/>
    <w:uiPriority w:val="0"/>
    <w:rPr>
      <w:rFonts w:hint="default" w:ascii="TimesNewRomanPSMT" w:hAnsi="TimesNewRomanPSMT"/>
      <w:color w:val="000000"/>
      <w:sz w:val="24"/>
      <w:szCs w:val="24"/>
    </w:rPr>
  </w:style>
  <w:style w:type="character" w:customStyle="1" w:styleId="44">
    <w:name w:val="标题 3 字符"/>
    <w:basedOn w:val="22"/>
    <w:link w:val="3"/>
    <w:uiPriority w:val="9"/>
    <w:rPr>
      <w:rFonts w:ascii="等线" w:hAnsi="等线" w:eastAsia="等线" w:cs="宋体"/>
      <w:b/>
      <w:bCs/>
      <w:kern w:val="2"/>
      <w:sz w:val="32"/>
      <w:szCs w:val="32"/>
    </w:rPr>
  </w:style>
  <w:style w:type="paragraph" w:customStyle="1" w:styleId="45">
    <w:name w:val="Table Paragraph"/>
    <w:basedOn w:val="1"/>
    <w:uiPriority w:val="0"/>
    <w:pPr>
      <w:autoSpaceDE w:val="0"/>
      <w:autoSpaceDN w:val="0"/>
      <w:jc w:val="left"/>
    </w:pPr>
    <w:rPr>
      <w:rFonts w:ascii="Times New Roman" w:hAnsi="Times New Roman" w:eastAsia="Times New Roman" w:cs="Times New Roman"/>
      <w:kern w:val="0"/>
      <w:sz w:val="22"/>
    </w:rPr>
  </w:style>
  <w:style w:type="paragraph" w:customStyle="1" w:styleId="46">
    <w:name w:val="Revision"/>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10684</Words>
  <Characters>11104</Characters>
  <Paragraphs>379</Paragraphs>
  <TotalTime>1</TotalTime>
  <ScaleCrop>false</ScaleCrop>
  <LinksUpToDate>false</LinksUpToDate>
  <CharactersWithSpaces>11530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2022-07-17T12:47:00Z</dcterms:created>
  <dc:creator>芳 陈</dc:creator>
  <cp:lastModifiedBy>李烨</cp:lastModifiedBy>
  <cp:lastPrinted>2022-05-27T10:08:00Z</cp:lastPrinted>
  <dcterms:modified xsi:type="dcterms:W3CDTF">2022-08-05T14:47:19Z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c4cb678626e14aafa5383e0d208d1cb9</vt:lpwstr>
  </property>
</Properties>
</file>